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1.xml" ContentType="application/vnd.openxmlformats-officedocument.theme+xml"/>
  <Override PartName="/word/charts/colors3.xml" ContentType="application/vnd.ms-office.chartcolorstyle+xml"/>
  <Override PartName="/word/charts/chart1.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39C22" w14:textId="77777777" w:rsidR="00206151" w:rsidRDefault="00206151">
      <w:pPr>
        <w:sectPr w:rsidR="00206151" w:rsidSect="00AB7120">
          <w:headerReference w:type="default" r:id="rId8"/>
          <w:footerReference w:type="default" r:id="rId9"/>
          <w:pgSz w:w="12240" w:h="15840"/>
          <w:pgMar w:top="1800" w:right="720" w:bottom="1440" w:left="720" w:header="720" w:footer="720" w:gutter="0"/>
          <w:cols w:space="720"/>
          <w:docGrid w:linePitch="360"/>
        </w:sectPr>
      </w:pPr>
    </w:p>
    <w:p w14:paraId="0AB9944E" w14:textId="77777777" w:rsidR="00206151" w:rsidRDefault="00206151"/>
    <w:p w14:paraId="0C7B208C" w14:textId="77777777" w:rsidR="00206151" w:rsidRDefault="00206151">
      <w:r>
        <w:br w:type="page"/>
      </w:r>
    </w:p>
    <w:sdt>
      <w:sdtPr>
        <w:rPr>
          <w:rFonts w:asciiTheme="minorHAnsi" w:eastAsiaTheme="minorHAnsi" w:hAnsiTheme="minorHAnsi" w:cstheme="minorBidi"/>
          <w:color w:val="auto"/>
          <w:sz w:val="22"/>
          <w:szCs w:val="22"/>
        </w:rPr>
        <w:id w:val="1591122611"/>
        <w:docPartObj>
          <w:docPartGallery w:val="Table of Contents"/>
          <w:docPartUnique/>
        </w:docPartObj>
      </w:sdtPr>
      <w:sdtContent>
        <w:p w14:paraId="49D3C1A2" w14:textId="77777777" w:rsidR="00895D17" w:rsidRDefault="00895D17" w:rsidP="00895D17">
          <w:pPr>
            <w:pStyle w:val="TOCHeading"/>
          </w:pPr>
          <w:r>
            <w:t>Contents</w:t>
          </w:r>
        </w:p>
        <w:p w14:paraId="5BB84928" w14:textId="77777777" w:rsidR="00895D17" w:rsidRDefault="00895D17" w:rsidP="00895D17">
          <w:pPr>
            <w:pStyle w:val="TOC1"/>
            <w:tabs>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r:id="rId10" w:anchor="_Toc134183716" w:history="1">
            <w:r>
              <w:rPr>
                <w:rStyle w:val="Hyperlink"/>
                <w:noProof/>
              </w:rPr>
              <w:t>Introduction</w:t>
            </w:r>
            <w:r>
              <w:rPr>
                <w:rStyle w:val="Hyperlink"/>
                <w:noProof/>
                <w:webHidden/>
              </w:rPr>
              <w:tab/>
            </w:r>
            <w:r>
              <w:rPr>
                <w:rStyle w:val="Hyperlink"/>
                <w:noProof/>
                <w:webHidden/>
              </w:rPr>
              <w:fldChar w:fldCharType="begin"/>
            </w:r>
            <w:r>
              <w:rPr>
                <w:rStyle w:val="Hyperlink"/>
                <w:noProof/>
                <w:webHidden/>
              </w:rPr>
              <w:instrText xml:space="preserve"> PAGEREF _Toc134183716 \h </w:instrText>
            </w:r>
            <w:r>
              <w:rPr>
                <w:rStyle w:val="Hyperlink"/>
                <w:noProof/>
                <w:webHidden/>
              </w:rPr>
            </w:r>
            <w:r>
              <w:rPr>
                <w:rStyle w:val="Hyperlink"/>
                <w:noProof/>
                <w:webHidden/>
              </w:rPr>
              <w:fldChar w:fldCharType="separate"/>
            </w:r>
            <w:r>
              <w:rPr>
                <w:rStyle w:val="Hyperlink"/>
                <w:noProof/>
                <w:webHidden/>
              </w:rPr>
              <w:t>3</w:t>
            </w:r>
            <w:r>
              <w:rPr>
                <w:rStyle w:val="Hyperlink"/>
                <w:noProof/>
                <w:webHidden/>
              </w:rPr>
              <w:fldChar w:fldCharType="end"/>
            </w:r>
          </w:hyperlink>
        </w:p>
        <w:p w14:paraId="47DB6430" w14:textId="77777777" w:rsidR="00895D17" w:rsidRDefault="00895D17" w:rsidP="00895D17">
          <w:pPr>
            <w:pStyle w:val="TOC1"/>
            <w:tabs>
              <w:tab w:val="right" w:leader="dot" w:pos="10790"/>
            </w:tabs>
            <w:rPr>
              <w:rFonts w:asciiTheme="minorHAnsi" w:eastAsiaTheme="minorEastAsia" w:hAnsiTheme="minorHAnsi" w:cstheme="minorBidi"/>
              <w:noProof/>
            </w:rPr>
          </w:pPr>
          <w:hyperlink r:id="rId11" w:anchor="_Toc134183717" w:history="1">
            <w:r>
              <w:rPr>
                <w:rStyle w:val="Hyperlink"/>
                <w:noProof/>
              </w:rPr>
              <w:t>Background</w:t>
            </w:r>
            <w:r>
              <w:rPr>
                <w:rStyle w:val="Hyperlink"/>
                <w:noProof/>
                <w:webHidden/>
              </w:rPr>
              <w:tab/>
            </w:r>
            <w:r>
              <w:rPr>
                <w:rStyle w:val="Hyperlink"/>
                <w:noProof/>
                <w:webHidden/>
              </w:rPr>
              <w:fldChar w:fldCharType="begin"/>
            </w:r>
            <w:r>
              <w:rPr>
                <w:rStyle w:val="Hyperlink"/>
                <w:noProof/>
                <w:webHidden/>
              </w:rPr>
              <w:instrText xml:space="preserve"> PAGEREF _Toc134183717 \h </w:instrText>
            </w:r>
            <w:r>
              <w:rPr>
                <w:rStyle w:val="Hyperlink"/>
                <w:noProof/>
                <w:webHidden/>
              </w:rPr>
            </w:r>
            <w:r>
              <w:rPr>
                <w:rStyle w:val="Hyperlink"/>
                <w:noProof/>
                <w:webHidden/>
              </w:rPr>
              <w:fldChar w:fldCharType="separate"/>
            </w:r>
            <w:r>
              <w:rPr>
                <w:rStyle w:val="Hyperlink"/>
                <w:noProof/>
                <w:webHidden/>
              </w:rPr>
              <w:t>3</w:t>
            </w:r>
            <w:r>
              <w:rPr>
                <w:rStyle w:val="Hyperlink"/>
                <w:noProof/>
                <w:webHidden/>
              </w:rPr>
              <w:fldChar w:fldCharType="end"/>
            </w:r>
          </w:hyperlink>
        </w:p>
        <w:p w14:paraId="469F6B6A" w14:textId="77777777" w:rsidR="00895D17" w:rsidRDefault="00895D17" w:rsidP="00895D17">
          <w:pPr>
            <w:pStyle w:val="TOC2"/>
            <w:tabs>
              <w:tab w:val="right" w:leader="dot" w:pos="10790"/>
            </w:tabs>
            <w:rPr>
              <w:rFonts w:eastAsiaTheme="minorEastAsia"/>
              <w:noProof/>
            </w:rPr>
          </w:pPr>
          <w:hyperlink r:id="rId12" w:anchor="_Toc134183718" w:history="1">
            <w:r>
              <w:rPr>
                <w:rStyle w:val="Hyperlink"/>
                <w:noProof/>
              </w:rPr>
              <w:t>Targeted Emissions</w:t>
            </w:r>
            <w:r>
              <w:rPr>
                <w:rStyle w:val="Hyperlink"/>
                <w:noProof/>
                <w:webHidden/>
              </w:rPr>
              <w:tab/>
            </w:r>
            <w:r>
              <w:rPr>
                <w:rStyle w:val="Hyperlink"/>
                <w:noProof/>
                <w:webHidden/>
              </w:rPr>
              <w:fldChar w:fldCharType="begin"/>
            </w:r>
            <w:r>
              <w:rPr>
                <w:rStyle w:val="Hyperlink"/>
                <w:noProof/>
                <w:webHidden/>
              </w:rPr>
              <w:instrText xml:space="preserve"> PAGEREF _Toc134183718 \h </w:instrText>
            </w:r>
            <w:r>
              <w:rPr>
                <w:rStyle w:val="Hyperlink"/>
                <w:noProof/>
                <w:webHidden/>
              </w:rPr>
            </w:r>
            <w:r>
              <w:rPr>
                <w:rStyle w:val="Hyperlink"/>
                <w:noProof/>
                <w:webHidden/>
              </w:rPr>
              <w:fldChar w:fldCharType="separate"/>
            </w:r>
            <w:r>
              <w:rPr>
                <w:rStyle w:val="Hyperlink"/>
                <w:noProof/>
                <w:webHidden/>
              </w:rPr>
              <w:t>4</w:t>
            </w:r>
            <w:r>
              <w:rPr>
                <w:rStyle w:val="Hyperlink"/>
                <w:noProof/>
                <w:webHidden/>
              </w:rPr>
              <w:fldChar w:fldCharType="end"/>
            </w:r>
          </w:hyperlink>
        </w:p>
        <w:p w14:paraId="6CE8A383" w14:textId="77777777" w:rsidR="00895D17" w:rsidRDefault="00895D17" w:rsidP="00895D17">
          <w:pPr>
            <w:pStyle w:val="TOC1"/>
            <w:tabs>
              <w:tab w:val="right" w:leader="dot" w:pos="10790"/>
            </w:tabs>
            <w:rPr>
              <w:rFonts w:asciiTheme="minorHAnsi" w:eastAsiaTheme="minorEastAsia" w:hAnsiTheme="minorHAnsi" w:cstheme="minorBidi"/>
              <w:noProof/>
            </w:rPr>
          </w:pPr>
          <w:hyperlink r:id="rId13" w:anchor="_Toc134183719" w:history="1">
            <w:r>
              <w:rPr>
                <w:rStyle w:val="Hyperlink"/>
                <w:noProof/>
              </w:rPr>
              <w:t>Methodology</w:t>
            </w:r>
            <w:r>
              <w:rPr>
                <w:rStyle w:val="Hyperlink"/>
                <w:noProof/>
                <w:webHidden/>
              </w:rPr>
              <w:tab/>
            </w:r>
            <w:r>
              <w:rPr>
                <w:rStyle w:val="Hyperlink"/>
                <w:noProof/>
                <w:webHidden/>
              </w:rPr>
              <w:fldChar w:fldCharType="begin"/>
            </w:r>
            <w:r>
              <w:rPr>
                <w:rStyle w:val="Hyperlink"/>
                <w:noProof/>
                <w:webHidden/>
              </w:rPr>
              <w:instrText xml:space="preserve"> PAGEREF _Toc134183719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14:paraId="33D5C8E9" w14:textId="77777777" w:rsidR="00895D17" w:rsidRDefault="00895D17" w:rsidP="00895D17">
          <w:pPr>
            <w:pStyle w:val="TOC2"/>
            <w:tabs>
              <w:tab w:val="right" w:leader="dot" w:pos="10790"/>
            </w:tabs>
            <w:rPr>
              <w:rFonts w:eastAsiaTheme="minorEastAsia"/>
              <w:noProof/>
            </w:rPr>
          </w:pPr>
          <w:hyperlink r:id="rId14" w:anchor="_Toc134183720" w:history="1">
            <w:r>
              <w:rPr>
                <w:rStyle w:val="Hyperlink"/>
                <w:noProof/>
              </w:rPr>
              <w:t>Analysis Tools</w:t>
            </w:r>
            <w:r>
              <w:rPr>
                <w:rStyle w:val="Hyperlink"/>
                <w:noProof/>
                <w:webHidden/>
              </w:rPr>
              <w:tab/>
            </w:r>
            <w:r>
              <w:rPr>
                <w:rStyle w:val="Hyperlink"/>
                <w:noProof/>
                <w:webHidden/>
              </w:rPr>
              <w:fldChar w:fldCharType="begin"/>
            </w:r>
            <w:r>
              <w:rPr>
                <w:rStyle w:val="Hyperlink"/>
                <w:noProof/>
                <w:webHidden/>
              </w:rPr>
              <w:instrText xml:space="preserve"> PAGEREF _Toc134183720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14:paraId="2B8950E9" w14:textId="77777777" w:rsidR="00895D17" w:rsidRDefault="00895D17" w:rsidP="00895D17">
          <w:pPr>
            <w:pStyle w:val="TOC2"/>
            <w:tabs>
              <w:tab w:val="right" w:leader="dot" w:pos="10790"/>
            </w:tabs>
            <w:rPr>
              <w:rFonts w:eastAsiaTheme="minorEastAsia"/>
              <w:noProof/>
            </w:rPr>
          </w:pPr>
          <w:hyperlink r:id="rId15" w:anchor="_Toc134183721" w:history="1">
            <w:r>
              <w:rPr>
                <w:rStyle w:val="Hyperlink"/>
                <w:noProof/>
              </w:rPr>
              <w:t>Data Sources</w:t>
            </w:r>
            <w:r>
              <w:rPr>
                <w:rStyle w:val="Hyperlink"/>
                <w:noProof/>
                <w:webHidden/>
              </w:rPr>
              <w:tab/>
            </w:r>
            <w:r>
              <w:rPr>
                <w:rStyle w:val="Hyperlink"/>
                <w:noProof/>
                <w:webHidden/>
              </w:rPr>
              <w:fldChar w:fldCharType="begin"/>
            </w:r>
            <w:r>
              <w:rPr>
                <w:rStyle w:val="Hyperlink"/>
                <w:noProof/>
                <w:webHidden/>
              </w:rPr>
              <w:instrText xml:space="preserve"> PAGEREF _Toc134183721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14:paraId="4DF1D24F" w14:textId="77777777" w:rsidR="00895D17" w:rsidRDefault="00895D17" w:rsidP="00895D17">
          <w:pPr>
            <w:pStyle w:val="TOC2"/>
            <w:tabs>
              <w:tab w:val="right" w:leader="dot" w:pos="10790"/>
            </w:tabs>
            <w:rPr>
              <w:rFonts w:eastAsiaTheme="minorEastAsia"/>
              <w:noProof/>
            </w:rPr>
          </w:pPr>
          <w:hyperlink r:id="rId16" w:anchor="_Toc134183722" w:history="1">
            <w:r>
              <w:rPr>
                <w:rStyle w:val="Hyperlink"/>
                <w:noProof/>
              </w:rPr>
              <w:t>Scenario Development</w:t>
            </w:r>
            <w:r>
              <w:rPr>
                <w:rStyle w:val="Hyperlink"/>
                <w:noProof/>
                <w:webHidden/>
              </w:rPr>
              <w:tab/>
            </w:r>
            <w:r>
              <w:rPr>
                <w:rStyle w:val="Hyperlink"/>
                <w:noProof/>
                <w:webHidden/>
              </w:rPr>
              <w:fldChar w:fldCharType="begin"/>
            </w:r>
            <w:r>
              <w:rPr>
                <w:rStyle w:val="Hyperlink"/>
                <w:noProof/>
                <w:webHidden/>
              </w:rPr>
              <w:instrText xml:space="preserve"> PAGEREF _Toc134183722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14:paraId="511E0E78" w14:textId="77777777" w:rsidR="00895D17" w:rsidRDefault="00895D17" w:rsidP="00895D17">
          <w:pPr>
            <w:pStyle w:val="TOC2"/>
            <w:tabs>
              <w:tab w:val="right" w:leader="dot" w:pos="10790"/>
            </w:tabs>
            <w:rPr>
              <w:rFonts w:eastAsiaTheme="minorEastAsia"/>
              <w:noProof/>
            </w:rPr>
          </w:pPr>
          <w:hyperlink r:id="rId17" w:anchor="_Toc134183723" w:history="1">
            <w:r>
              <w:rPr>
                <w:rStyle w:val="Hyperlink"/>
                <w:noProof/>
              </w:rPr>
              <w:t>Electric Grid Assumptions</w:t>
            </w:r>
            <w:r>
              <w:rPr>
                <w:rStyle w:val="Hyperlink"/>
                <w:noProof/>
                <w:webHidden/>
              </w:rPr>
              <w:tab/>
            </w:r>
            <w:r>
              <w:rPr>
                <w:rStyle w:val="Hyperlink"/>
                <w:noProof/>
                <w:webHidden/>
              </w:rPr>
              <w:fldChar w:fldCharType="begin"/>
            </w:r>
            <w:r>
              <w:rPr>
                <w:rStyle w:val="Hyperlink"/>
                <w:noProof/>
                <w:webHidden/>
              </w:rPr>
              <w:instrText xml:space="preserve"> PAGEREF _Toc134183723 \h </w:instrText>
            </w:r>
            <w:r>
              <w:rPr>
                <w:rStyle w:val="Hyperlink"/>
                <w:noProof/>
                <w:webHidden/>
              </w:rPr>
            </w:r>
            <w:r>
              <w:rPr>
                <w:rStyle w:val="Hyperlink"/>
                <w:noProof/>
                <w:webHidden/>
              </w:rPr>
              <w:fldChar w:fldCharType="separate"/>
            </w:r>
            <w:r>
              <w:rPr>
                <w:rStyle w:val="Hyperlink"/>
                <w:noProof/>
                <w:webHidden/>
              </w:rPr>
              <w:t>9</w:t>
            </w:r>
            <w:r>
              <w:rPr>
                <w:rStyle w:val="Hyperlink"/>
                <w:noProof/>
                <w:webHidden/>
              </w:rPr>
              <w:fldChar w:fldCharType="end"/>
            </w:r>
          </w:hyperlink>
        </w:p>
        <w:p w14:paraId="091DEF68" w14:textId="77777777" w:rsidR="00895D17" w:rsidRDefault="00895D17" w:rsidP="00895D17">
          <w:pPr>
            <w:pStyle w:val="TOC2"/>
            <w:tabs>
              <w:tab w:val="right" w:leader="dot" w:pos="10790"/>
            </w:tabs>
            <w:rPr>
              <w:rFonts w:eastAsiaTheme="minorEastAsia"/>
              <w:noProof/>
            </w:rPr>
          </w:pPr>
          <w:hyperlink r:id="rId18" w:anchor="_Toc134183724" w:history="1">
            <w:r>
              <w:rPr>
                <w:rStyle w:val="Hyperlink"/>
                <w:noProof/>
              </w:rPr>
              <w:t>Renewable Natural Gas Assumptions</w:t>
            </w:r>
            <w:r>
              <w:rPr>
                <w:rStyle w:val="Hyperlink"/>
                <w:noProof/>
                <w:webHidden/>
              </w:rPr>
              <w:tab/>
            </w:r>
            <w:r>
              <w:rPr>
                <w:rStyle w:val="Hyperlink"/>
                <w:noProof/>
                <w:webHidden/>
              </w:rPr>
              <w:fldChar w:fldCharType="begin"/>
            </w:r>
            <w:r>
              <w:rPr>
                <w:rStyle w:val="Hyperlink"/>
                <w:noProof/>
                <w:webHidden/>
              </w:rPr>
              <w:instrText xml:space="preserve"> PAGEREF _Toc134183724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14:paraId="5C762C24" w14:textId="77777777" w:rsidR="00895D17" w:rsidRDefault="00895D17" w:rsidP="00895D17">
          <w:pPr>
            <w:pStyle w:val="TOC1"/>
            <w:tabs>
              <w:tab w:val="right" w:leader="dot" w:pos="10790"/>
            </w:tabs>
            <w:rPr>
              <w:rFonts w:asciiTheme="minorHAnsi" w:eastAsiaTheme="minorEastAsia" w:hAnsiTheme="minorHAnsi" w:cstheme="minorBidi"/>
              <w:noProof/>
            </w:rPr>
          </w:pPr>
          <w:hyperlink r:id="rId19" w:anchor="_Toc134183725" w:history="1">
            <w:r>
              <w:rPr>
                <w:rStyle w:val="Hyperlink"/>
                <w:noProof/>
              </w:rPr>
              <w:t>Analysis</w:t>
            </w:r>
            <w:r>
              <w:rPr>
                <w:rStyle w:val="Hyperlink"/>
                <w:noProof/>
                <w:webHidden/>
              </w:rPr>
              <w:tab/>
            </w:r>
            <w:r>
              <w:rPr>
                <w:rStyle w:val="Hyperlink"/>
                <w:noProof/>
                <w:webHidden/>
              </w:rPr>
              <w:fldChar w:fldCharType="begin"/>
            </w:r>
            <w:r>
              <w:rPr>
                <w:rStyle w:val="Hyperlink"/>
                <w:noProof/>
                <w:webHidden/>
              </w:rPr>
              <w:instrText xml:space="preserve"> PAGEREF _Toc134183725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14:paraId="3C88463B" w14:textId="77777777" w:rsidR="00895D17" w:rsidRDefault="00895D17" w:rsidP="00895D17">
          <w:pPr>
            <w:pStyle w:val="TOC1"/>
            <w:tabs>
              <w:tab w:val="right" w:leader="dot" w:pos="10790"/>
            </w:tabs>
            <w:rPr>
              <w:rFonts w:asciiTheme="minorHAnsi" w:eastAsiaTheme="minorEastAsia" w:hAnsiTheme="minorHAnsi" w:cstheme="minorBidi"/>
              <w:noProof/>
            </w:rPr>
          </w:pPr>
          <w:hyperlink r:id="rId20" w:anchor="_Toc134183726" w:history="1">
            <w:r>
              <w:rPr>
                <w:rStyle w:val="Hyperlink"/>
                <w:noProof/>
              </w:rPr>
              <w:t>Discussion</w:t>
            </w:r>
            <w:r>
              <w:rPr>
                <w:rStyle w:val="Hyperlink"/>
                <w:noProof/>
                <w:webHidden/>
              </w:rPr>
              <w:tab/>
            </w:r>
            <w:r>
              <w:rPr>
                <w:rStyle w:val="Hyperlink"/>
                <w:noProof/>
                <w:webHidden/>
              </w:rPr>
              <w:fldChar w:fldCharType="begin"/>
            </w:r>
            <w:r>
              <w:rPr>
                <w:rStyle w:val="Hyperlink"/>
                <w:noProof/>
                <w:webHidden/>
              </w:rPr>
              <w:instrText xml:space="preserve"> PAGEREF _Toc134183726 \h </w:instrText>
            </w:r>
            <w:r>
              <w:rPr>
                <w:rStyle w:val="Hyperlink"/>
                <w:noProof/>
                <w:webHidden/>
              </w:rPr>
            </w:r>
            <w:r>
              <w:rPr>
                <w:rStyle w:val="Hyperlink"/>
                <w:noProof/>
                <w:webHidden/>
              </w:rPr>
              <w:fldChar w:fldCharType="separate"/>
            </w:r>
            <w:r>
              <w:rPr>
                <w:rStyle w:val="Hyperlink"/>
                <w:noProof/>
                <w:webHidden/>
              </w:rPr>
              <w:t>14</w:t>
            </w:r>
            <w:r>
              <w:rPr>
                <w:rStyle w:val="Hyperlink"/>
                <w:noProof/>
                <w:webHidden/>
              </w:rPr>
              <w:fldChar w:fldCharType="end"/>
            </w:r>
          </w:hyperlink>
        </w:p>
        <w:p w14:paraId="52FB2784" w14:textId="77777777" w:rsidR="00895D17" w:rsidRDefault="00895D17" w:rsidP="00895D17">
          <w:pPr>
            <w:pStyle w:val="TOC2"/>
            <w:tabs>
              <w:tab w:val="right" w:leader="dot" w:pos="10790"/>
            </w:tabs>
            <w:rPr>
              <w:rFonts w:eastAsiaTheme="minorEastAsia"/>
              <w:noProof/>
            </w:rPr>
          </w:pPr>
          <w:hyperlink r:id="rId21" w:anchor="_Toc134183727" w:history="1">
            <w:r>
              <w:rPr>
                <w:rStyle w:val="Hyperlink"/>
                <w:noProof/>
              </w:rPr>
              <w:t>Global Environmental Impact</w:t>
            </w:r>
            <w:r>
              <w:rPr>
                <w:rStyle w:val="Hyperlink"/>
                <w:noProof/>
                <w:webHidden/>
              </w:rPr>
              <w:tab/>
            </w:r>
            <w:r>
              <w:rPr>
                <w:rStyle w:val="Hyperlink"/>
                <w:noProof/>
                <w:webHidden/>
              </w:rPr>
              <w:fldChar w:fldCharType="begin"/>
            </w:r>
            <w:r>
              <w:rPr>
                <w:rStyle w:val="Hyperlink"/>
                <w:noProof/>
                <w:webHidden/>
              </w:rPr>
              <w:instrText xml:space="preserve"> PAGEREF _Toc134183727 \h </w:instrText>
            </w:r>
            <w:r>
              <w:rPr>
                <w:rStyle w:val="Hyperlink"/>
                <w:noProof/>
                <w:webHidden/>
              </w:rPr>
            </w:r>
            <w:r>
              <w:rPr>
                <w:rStyle w:val="Hyperlink"/>
                <w:noProof/>
                <w:webHidden/>
              </w:rPr>
              <w:fldChar w:fldCharType="separate"/>
            </w:r>
            <w:r>
              <w:rPr>
                <w:rStyle w:val="Hyperlink"/>
                <w:noProof/>
                <w:webHidden/>
              </w:rPr>
              <w:t>14</w:t>
            </w:r>
            <w:r>
              <w:rPr>
                <w:rStyle w:val="Hyperlink"/>
                <w:noProof/>
                <w:webHidden/>
              </w:rPr>
              <w:fldChar w:fldCharType="end"/>
            </w:r>
          </w:hyperlink>
        </w:p>
        <w:p w14:paraId="0827C3E1" w14:textId="77777777" w:rsidR="00895D17" w:rsidRDefault="00895D17" w:rsidP="00895D17">
          <w:pPr>
            <w:pStyle w:val="TOC2"/>
            <w:tabs>
              <w:tab w:val="right" w:leader="dot" w:pos="10790"/>
            </w:tabs>
            <w:rPr>
              <w:rFonts w:eastAsiaTheme="minorEastAsia"/>
              <w:noProof/>
            </w:rPr>
          </w:pPr>
          <w:hyperlink r:id="rId22" w:anchor="_Toc134183728" w:history="1">
            <w:r>
              <w:rPr>
                <w:rStyle w:val="Hyperlink"/>
                <w:noProof/>
              </w:rPr>
              <w:t>Local Environmental Impact</w:t>
            </w:r>
            <w:r>
              <w:rPr>
                <w:rStyle w:val="Hyperlink"/>
                <w:noProof/>
                <w:webHidden/>
              </w:rPr>
              <w:tab/>
            </w:r>
            <w:r>
              <w:rPr>
                <w:rStyle w:val="Hyperlink"/>
                <w:noProof/>
                <w:webHidden/>
              </w:rPr>
              <w:fldChar w:fldCharType="begin"/>
            </w:r>
            <w:r>
              <w:rPr>
                <w:rStyle w:val="Hyperlink"/>
                <w:noProof/>
                <w:webHidden/>
              </w:rPr>
              <w:instrText xml:space="preserve"> PAGEREF _Toc134183728 \h </w:instrText>
            </w:r>
            <w:r>
              <w:rPr>
                <w:rStyle w:val="Hyperlink"/>
                <w:noProof/>
                <w:webHidden/>
              </w:rPr>
            </w:r>
            <w:r>
              <w:rPr>
                <w:rStyle w:val="Hyperlink"/>
                <w:noProof/>
                <w:webHidden/>
              </w:rPr>
              <w:fldChar w:fldCharType="separate"/>
            </w:r>
            <w:r>
              <w:rPr>
                <w:rStyle w:val="Hyperlink"/>
                <w:noProof/>
                <w:webHidden/>
              </w:rPr>
              <w:t>15</w:t>
            </w:r>
            <w:r>
              <w:rPr>
                <w:rStyle w:val="Hyperlink"/>
                <w:noProof/>
                <w:webHidden/>
              </w:rPr>
              <w:fldChar w:fldCharType="end"/>
            </w:r>
          </w:hyperlink>
        </w:p>
        <w:p w14:paraId="789248CE" w14:textId="77777777" w:rsidR="00895D17" w:rsidRDefault="00895D17" w:rsidP="00895D17">
          <w:pPr>
            <w:pStyle w:val="TOC2"/>
            <w:tabs>
              <w:tab w:val="right" w:leader="dot" w:pos="10790"/>
            </w:tabs>
            <w:rPr>
              <w:rFonts w:eastAsiaTheme="minorEastAsia"/>
              <w:noProof/>
            </w:rPr>
          </w:pPr>
          <w:hyperlink r:id="rId23" w:anchor="_Toc134183729" w:history="1">
            <w:r>
              <w:rPr>
                <w:rStyle w:val="Hyperlink"/>
                <w:noProof/>
              </w:rPr>
              <w:t>Qualitative Supply Chain Impact</w:t>
            </w:r>
            <w:r>
              <w:rPr>
                <w:rStyle w:val="Hyperlink"/>
                <w:noProof/>
                <w:webHidden/>
              </w:rPr>
              <w:tab/>
            </w:r>
            <w:r>
              <w:rPr>
                <w:rStyle w:val="Hyperlink"/>
                <w:noProof/>
                <w:webHidden/>
              </w:rPr>
              <w:fldChar w:fldCharType="begin"/>
            </w:r>
            <w:r>
              <w:rPr>
                <w:rStyle w:val="Hyperlink"/>
                <w:noProof/>
                <w:webHidden/>
              </w:rPr>
              <w:instrText xml:space="preserve"> PAGEREF _Toc134183729 \h </w:instrText>
            </w:r>
            <w:r>
              <w:rPr>
                <w:rStyle w:val="Hyperlink"/>
                <w:noProof/>
                <w:webHidden/>
              </w:rPr>
            </w:r>
            <w:r>
              <w:rPr>
                <w:rStyle w:val="Hyperlink"/>
                <w:noProof/>
                <w:webHidden/>
              </w:rPr>
              <w:fldChar w:fldCharType="separate"/>
            </w:r>
            <w:r>
              <w:rPr>
                <w:rStyle w:val="Hyperlink"/>
                <w:noProof/>
                <w:webHidden/>
              </w:rPr>
              <w:t>15</w:t>
            </w:r>
            <w:r>
              <w:rPr>
                <w:rStyle w:val="Hyperlink"/>
                <w:noProof/>
                <w:webHidden/>
              </w:rPr>
              <w:fldChar w:fldCharType="end"/>
            </w:r>
          </w:hyperlink>
        </w:p>
        <w:p w14:paraId="1EFFFE46" w14:textId="77777777" w:rsidR="00895D17" w:rsidRDefault="00895D17" w:rsidP="00895D17">
          <w:pPr>
            <w:pStyle w:val="TOC3"/>
            <w:tabs>
              <w:tab w:val="right" w:leader="dot" w:pos="10790"/>
            </w:tabs>
            <w:rPr>
              <w:rFonts w:eastAsiaTheme="minorEastAsia"/>
              <w:noProof/>
            </w:rPr>
          </w:pPr>
          <w:hyperlink r:id="rId24" w:anchor="_Toc134183730" w:history="1">
            <w:r>
              <w:rPr>
                <w:rStyle w:val="Hyperlink"/>
                <w:noProof/>
              </w:rPr>
              <w:t>Battery Electric Buses</w:t>
            </w:r>
            <w:r>
              <w:rPr>
                <w:rStyle w:val="Hyperlink"/>
                <w:noProof/>
                <w:webHidden/>
              </w:rPr>
              <w:tab/>
            </w:r>
            <w:r>
              <w:rPr>
                <w:rStyle w:val="Hyperlink"/>
                <w:noProof/>
                <w:webHidden/>
              </w:rPr>
              <w:fldChar w:fldCharType="begin"/>
            </w:r>
            <w:r>
              <w:rPr>
                <w:rStyle w:val="Hyperlink"/>
                <w:noProof/>
                <w:webHidden/>
              </w:rPr>
              <w:instrText xml:space="preserve"> PAGEREF _Toc134183730 \h </w:instrText>
            </w:r>
            <w:r>
              <w:rPr>
                <w:rStyle w:val="Hyperlink"/>
                <w:noProof/>
                <w:webHidden/>
              </w:rPr>
            </w:r>
            <w:r>
              <w:rPr>
                <w:rStyle w:val="Hyperlink"/>
                <w:noProof/>
                <w:webHidden/>
              </w:rPr>
              <w:fldChar w:fldCharType="separate"/>
            </w:r>
            <w:r>
              <w:rPr>
                <w:rStyle w:val="Hyperlink"/>
                <w:noProof/>
                <w:webHidden/>
              </w:rPr>
              <w:t>16</w:t>
            </w:r>
            <w:r>
              <w:rPr>
                <w:rStyle w:val="Hyperlink"/>
                <w:noProof/>
                <w:webHidden/>
              </w:rPr>
              <w:fldChar w:fldCharType="end"/>
            </w:r>
          </w:hyperlink>
        </w:p>
        <w:p w14:paraId="5DCA8B96" w14:textId="77777777" w:rsidR="00895D17" w:rsidRDefault="00895D17" w:rsidP="00895D17">
          <w:pPr>
            <w:pStyle w:val="TOC3"/>
            <w:tabs>
              <w:tab w:val="right" w:leader="dot" w:pos="10790"/>
            </w:tabs>
            <w:rPr>
              <w:rFonts w:eastAsiaTheme="minorEastAsia"/>
              <w:noProof/>
            </w:rPr>
          </w:pPr>
          <w:hyperlink r:id="rId25" w:anchor="_Toc134183731" w:history="1">
            <w:r>
              <w:rPr>
                <w:rStyle w:val="Hyperlink"/>
                <w:noProof/>
              </w:rPr>
              <w:t>Hydrogen Fuel Cell Buses</w:t>
            </w:r>
            <w:r>
              <w:rPr>
                <w:rStyle w:val="Hyperlink"/>
                <w:noProof/>
                <w:webHidden/>
              </w:rPr>
              <w:tab/>
            </w:r>
            <w:r>
              <w:rPr>
                <w:rStyle w:val="Hyperlink"/>
                <w:noProof/>
                <w:webHidden/>
              </w:rPr>
              <w:fldChar w:fldCharType="begin"/>
            </w:r>
            <w:r>
              <w:rPr>
                <w:rStyle w:val="Hyperlink"/>
                <w:noProof/>
                <w:webHidden/>
              </w:rPr>
              <w:instrText xml:space="preserve"> PAGEREF _Toc134183731 \h </w:instrText>
            </w:r>
            <w:r>
              <w:rPr>
                <w:rStyle w:val="Hyperlink"/>
                <w:noProof/>
                <w:webHidden/>
              </w:rPr>
            </w:r>
            <w:r>
              <w:rPr>
                <w:rStyle w:val="Hyperlink"/>
                <w:noProof/>
                <w:webHidden/>
              </w:rPr>
              <w:fldChar w:fldCharType="separate"/>
            </w:r>
            <w:r>
              <w:rPr>
                <w:rStyle w:val="Hyperlink"/>
                <w:noProof/>
                <w:webHidden/>
              </w:rPr>
              <w:t>17</w:t>
            </w:r>
            <w:r>
              <w:rPr>
                <w:rStyle w:val="Hyperlink"/>
                <w:noProof/>
                <w:webHidden/>
              </w:rPr>
              <w:fldChar w:fldCharType="end"/>
            </w:r>
          </w:hyperlink>
        </w:p>
        <w:p w14:paraId="3E59D042" w14:textId="77777777" w:rsidR="00895D17" w:rsidRDefault="00895D17" w:rsidP="00895D17">
          <w:pPr>
            <w:pStyle w:val="TOC3"/>
            <w:tabs>
              <w:tab w:val="right" w:leader="dot" w:pos="10790"/>
            </w:tabs>
            <w:rPr>
              <w:rFonts w:eastAsiaTheme="minorEastAsia"/>
              <w:noProof/>
            </w:rPr>
          </w:pPr>
          <w:hyperlink r:id="rId26" w:anchor="_Toc134183732" w:history="1">
            <w:r>
              <w:rPr>
                <w:rStyle w:val="Hyperlink"/>
                <w:noProof/>
              </w:rPr>
              <w:t>Natural Gas and Renewable Natural Gas Buses</w:t>
            </w:r>
            <w:r>
              <w:rPr>
                <w:rStyle w:val="Hyperlink"/>
                <w:noProof/>
                <w:webHidden/>
              </w:rPr>
              <w:tab/>
            </w:r>
            <w:r>
              <w:rPr>
                <w:rStyle w:val="Hyperlink"/>
                <w:noProof/>
                <w:webHidden/>
              </w:rPr>
              <w:fldChar w:fldCharType="begin"/>
            </w:r>
            <w:r>
              <w:rPr>
                <w:rStyle w:val="Hyperlink"/>
                <w:noProof/>
                <w:webHidden/>
              </w:rPr>
              <w:instrText xml:space="preserve"> PAGEREF _Toc134183732 \h </w:instrText>
            </w:r>
            <w:r>
              <w:rPr>
                <w:rStyle w:val="Hyperlink"/>
                <w:noProof/>
                <w:webHidden/>
              </w:rPr>
            </w:r>
            <w:r>
              <w:rPr>
                <w:rStyle w:val="Hyperlink"/>
                <w:noProof/>
                <w:webHidden/>
              </w:rPr>
              <w:fldChar w:fldCharType="separate"/>
            </w:r>
            <w:r>
              <w:rPr>
                <w:rStyle w:val="Hyperlink"/>
                <w:noProof/>
                <w:webHidden/>
              </w:rPr>
              <w:t>17</w:t>
            </w:r>
            <w:r>
              <w:rPr>
                <w:rStyle w:val="Hyperlink"/>
                <w:noProof/>
                <w:webHidden/>
              </w:rPr>
              <w:fldChar w:fldCharType="end"/>
            </w:r>
          </w:hyperlink>
        </w:p>
        <w:p w14:paraId="16975ADB" w14:textId="77777777" w:rsidR="00895D17" w:rsidRDefault="00895D17" w:rsidP="00895D17">
          <w:pPr>
            <w:pStyle w:val="TOC1"/>
            <w:tabs>
              <w:tab w:val="right" w:leader="dot" w:pos="10790"/>
            </w:tabs>
            <w:rPr>
              <w:rFonts w:asciiTheme="minorHAnsi" w:eastAsiaTheme="minorEastAsia" w:hAnsiTheme="minorHAnsi" w:cstheme="minorBidi"/>
              <w:noProof/>
            </w:rPr>
          </w:pPr>
          <w:hyperlink r:id="rId27" w:anchor="_Toc134183733" w:history="1">
            <w:r>
              <w:rPr>
                <w:rStyle w:val="Hyperlink"/>
                <w:noProof/>
              </w:rPr>
              <w:t>Conclusion</w:t>
            </w:r>
            <w:r>
              <w:rPr>
                <w:rStyle w:val="Hyperlink"/>
                <w:noProof/>
                <w:webHidden/>
              </w:rPr>
              <w:tab/>
            </w:r>
            <w:r>
              <w:rPr>
                <w:rStyle w:val="Hyperlink"/>
                <w:noProof/>
                <w:webHidden/>
              </w:rPr>
              <w:fldChar w:fldCharType="begin"/>
            </w:r>
            <w:r>
              <w:rPr>
                <w:rStyle w:val="Hyperlink"/>
                <w:noProof/>
                <w:webHidden/>
              </w:rPr>
              <w:instrText xml:space="preserve"> PAGEREF _Toc134183733 \h </w:instrText>
            </w:r>
            <w:r>
              <w:rPr>
                <w:rStyle w:val="Hyperlink"/>
                <w:noProof/>
                <w:webHidden/>
              </w:rPr>
            </w:r>
            <w:r>
              <w:rPr>
                <w:rStyle w:val="Hyperlink"/>
                <w:noProof/>
                <w:webHidden/>
              </w:rPr>
              <w:fldChar w:fldCharType="separate"/>
            </w:r>
            <w:r>
              <w:rPr>
                <w:rStyle w:val="Hyperlink"/>
                <w:noProof/>
                <w:webHidden/>
              </w:rPr>
              <w:t>18</w:t>
            </w:r>
            <w:r>
              <w:rPr>
                <w:rStyle w:val="Hyperlink"/>
                <w:noProof/>
                <w:webHidden/>
              </w:rPr>
              <w:fldChar w:fldCharType="end"/>
            </w:r>
          </w:hyperlink>
        </w:p>
        <w:p w14:paraId="47854618" w14:textId="77777777" w:rsidR="00895D17" w:rsidRDefault="00895D17" w:rsidP="00895D17">
          <w:pPr>
            <w:pStyle w:val="TOC1"/>
            <w:tabs>
              <w:tab w:val="right" w:leader="dot" w:pos="10790"/>
            </w:tabs>
            <w:rPr>
              <w:rFonts w:asciiTheme="minorHAnsi" w:eastAsiaTheme="minorEastAsia" w:hAnsiTheme="minorHAnsi" w:cstheme="minorBidi"/>
              <w:noProof/>
            </w:rPr>
          </w:pPr>
          <w:hyperlink r:id="rId28" w:anchor="_Toc134183734" w:history="1">
            <w:r>
              <w:rPr>
                <w:rStyle w:val="Hyperlink"/>
                <w:noProof/>
              </w:rPr>
              <w:t>References</w:t>
            </w:r>
            <w:r>
              <w:rPr>
                <w:rStyle w:val="Hyperlink"/>
                <w:noProof/>
                <w:webHidden/>
              </w:rPr>
              <w:tab/>
            </w:r>
            <w:r>
              <w:rPr>
                <w:rStyle w:val="Hyperlink"/>
                <w:noProof/>
                <w:webHidden/>
              </w:rPr>
              <w:fldChar w:fldCharType="begin"/>
            </w:r>
            <w:r>
              <w:rPr>
                <w:rStyle w:val="Hyperlink"/>
                <w:noProof/>
                <w:webHidden/>
              </w:rPr>
              <w:instrText xml:space="preserve"> PAGEREF _Toc134183734 \h </w:instrText>
            </w:r>
            <w:r>
              <w:rPr>
                <w:rStyle w:val="Hyperlink"/>
                <w:noProof/>
                <w:webHidden/>
              </w:rPr>
            </w:r>
            <w:r>
              <w:rPr>
                <w:rStyle w:val="Hyperlink"/>
                <w:noProof/>
                <w:webHidden/>
              </w:rPr>
              <w:fldChar w:fldCharType="separate"/>
            </w:r>
            <w:r>
              <w:rPr>
                <w:rStyle w:val="Hyperlink"/>
                <w:noProof/>
                <w:webHidden/>
              </w:rPr>
              <w:t>20</w:t>
            </w:r>
            <w:r>
              <w:rPr>
                <w:rStyle w:val="Hyperlink"/>
                <w:noProof/>
                <w:webHidden/>
              </w:rPr>
              <w:fldChar w:fldCharType="end"/>
            </w:r>
          </w:hyperlink>
        </w:p>
        <w:p w14:paraId="5EDEEBF2" w14:textId="77777777" w:rsidR="00895D17" w:rsidRDefault="00895D17" w:rsidP="00895D17">
          <w:pPr>
            <w:pStyle w:val="TOC1"/>
            <w:tabs>
              <w:tab w:val="right" w:leader="dot" w:pos="10790"/>
            </w:tabs>
            <w:rPr>
              <w:rFonts w:asciiTheme="minorHAnsi" w:eastAsiaTheme="minorEastAsia" w:hAnsiTheme="minorHAnsi" w:cstheme="minorBidi"/>
              <w:noProof/>
            </w:rPr>
          </w:pPr>
          <w:hyperlink r:id="rId29" w:anchor="_Toc134183735" w:history="1">
            <w:r>
              <w:rPr>
                <w:rStyle w:val="Hyperlink"/>
                <w:noProof/>
              </w:rPr>
              <w:t>Appendix A</w:t>
            </w:r>
            <w:r>
              <w:rPr>
                <w:rStyle w:val="Hyperlink"/>
                <w:noProof/>
                <w:webHidden/>
              </w:rPr>
              <w:tab/>
            </w:r>
            <w:r>
              <w:rPr>
                <w:rStyle w:val="Hyperlink"/>
                <w:noProof/>
                <w:webHidden/>
              </w:rPr>
              <w:fldChar w:fldCharType="begin"/>
            </w:r>
            <w:r>
              <w:rPr>
                <w:rStyle w:val="Hyperlink"/>
                <w:noProof/>
                <w:webHidden/>
              </w:rPr>
              <w:instrText xml:space="preserve"> PAGEREF _Toc134183735 \h </w:instrText>
            </w:r>
            <w:r>
              <w:rPr>
                <w:rStyle w:val="Hyperlink"/>
                <w:noProof/>
                <w:webHidden/>
              </w:rPr>
            </w:r>
            <w:r>
              <w:rPr>
                <w:rStyle w:val="Hyperlink"/>
                <w:noProof/>
                <w:webHidden/>
              </w:rPr>
              <w:fldChar w:fldCharType="separate"/>
            </w:r>
            <w:r>
              <w:rPr>
                <w:rStyle w:val="Hyperlink"/>
                <w:noProof/>
                <w:webHidden/>
              </w:rPr>
              <w:t>23</w:t>
            </w:r>
            <w:r>
              <w:rPr>
                <w:rStyle w:val="Hyperlink"/>
                <w:noProof/>
                <w:webHidden/>
              </w:rPr>
              <w:fldChar w:fldCharType="end"/>
            </w:r>
          </w:hyperlink>
        </w:p>
        <w:p w14:paraId="290E8BF7" w14:textId="77777777" w:rsidR="00895D17" w:rsidRDefault="00895D17" w:rsidP="00895D17">
          <w:r>
            <w:rPr>
              <w:b/>
              <w:bCs/>
              <w:noProof/>
            </w:rPr>
            <w:fldChar w:fldCharType="end"/>
          </w:r>
        </w:p>
      </w:sdtContent>
    </w:sdt>
    <w:p w14:paraId="2E1C4F89" w14:textId="77777777" w:rsidR="00895D17" w:rsidRDefault="00895D17" w:rsidP="00895D17">
      <w:pPr>
        <w:spacing w:after="0"/>
        <w:rPr>
          <w:rFonts w:asciiTheme="majorHAnsi" w:hAnsiTheme="majorHAnsi" w:cstheme="majorHAnsi"/>
          <w:color w:val="212C59" w:themeColor="accent1" w:themeShade="BF"/>
          <w:sz w:val="32"/>
          <w:szCs w:val="32"/>
        </w:rPr>
      </w:pPr>
      <w:r>
        <w:rPr>
          <w:rFonts w:asciiTheme="majorHAnsi" w:hAnsiTheme="majorHAnsi" w:cstheme="majorHAnsi"/>
          <w:color w:val="212C59" w:themeColor="accent1" w:themeShade="BF"/>
          <w:sz w:val="32"/>
          <w:szCs w:val="32"/>
        </w:rPr>
        <w:t>Figures</w:t>
      </w:r>
    </w:p>
    <w:p w14:paraId="0F23F538" w14:textId="77777777" w:rsidR="00895D17" w:rsidRDefault="00895D17" w:rsidP="00895D17">
      <w:pPr>
        <w:pStyle w:val="TableofFigures"/>
        <w:tabs>
          <w:tab w:val="right" w:leader="dot" w:pos="10790"/>
        </w:tabs>
        <w:rPr>
          <w:rFonts w:eastAsiaTheme="minorEastAsia"/>
          <w:noProof/>
        </w:rPr>
      </w:pPr>
      <w:r>
        <w:fldChar w:fldCharType="begin"/>
      </w:r>
      <w:r>
        <w:instrText xml:space="preserve"> TOC \h \z \c "Figure" </w:instrText>
      </w:r>
      <w:r>
        <w:fldChar w:fldCharType="separate"/>
      </w:r>
      <w:hyperlink r:id="rId30" w:anchor="_Toc134183736" w:history="1">
        <w:r>
          <w:rPr>
            <w:rStyle w:val="Hyperlink"/>
            <w:noProof/>
          </w:rPr>
          <w:t>Figure 1: CAT’s Fleet Composition by Year</w:t>
        </w:r>
        <w:r>
          <w:rPr>
            <w:rStyle w:val="Hyperlink"/>
            <w:noProof/>
            <w:webHidden/>
          </w:rPr>
          <w:tab/>
        </w:r>
        <w:r>
          <w:rPr>
            <w:rStyle w:val="Hyperlink"/>
            <w:noProof/>
            <w:webHidden/>
          </w:rPr>
          <w:fldChar w:fldCharType="begin"/>
        </w:r>
        <w:r>
          <w:rPr>
            <w:rStyle w:val="Hyperlink"/>
            <w:noProof/>
            <w:webHidden/>
          </w:rPr>
          <w:instrText xml:space="preserve"> PAGEREF _Toc134183736 \h </w:instrText>
        </w:r>
        <w:r>
          <w:rPr>
            <w:rStyle w:val="Hyperlink"/>
            <w:noProof/>
            <w:webHidden/>
          </w:rPr>
        </w:r>
        <w:r>
          <w:rPr>
            <w:rStyle w:val="Hyperlink"/>
            <w:noProof/>
            <w:webHidden/>
          </w:rPr>
          <w:fldChar w:fldCharType="separate"/>
        </w:r>
        <w:r>
          <w:rPr>
            <w:rStyle w:val="Hyperlink"/>
            <w:noProof/>
            <w:webHidden/>
          </w:rPr>
          <w:t>4</w:t>
        </w:r>
        <w:r>
          <w:rPr>
            <w:rStyle w:val="Hyperlink"/>
            <w:noProof/>
            <w:webHidden/>
          </w:rPr>
          <w:fldChar w:fldCharType="end"/>
        </w:r>
      </w:hyperlink>
    </w:p>
    <w:p w14:paraId="71830C87" w14:textId="77777777" w:rsidR="00895D17" w:rsidRDefault="00895D17" w:rsidP="00895D17">
      <w:pPr>
        <w:pStyle w:val="TableofFigures"/>
        <w:tabs>
          <w:tab w:val="right" w:leader="dot" w:pos="10790"/>
        </w:tabs>
        <w:rPr>
          <w:rFonts w:eastAsiaTheme="minorEastAsia"/>
          <w:noProof/>
        </w:rPr>
      </w:pPr>
      <w:hyperlink r:id="rId31" w:anchor="_Toc134183737" w:history="1">
        <w:r>
          <w:rPr>
            <w:rStyle w:val="Hyperlink"/>
            <w:noProof/>
          </w:rPr>
          <w:t>Figure 2: Charlottesville Electric Grid Energy Sources, US EIA 2022</w:t>
        </w:r>
        <w:r>
          <w:rPr>
            <w:rStyle w:val="Hyperlink"/>
            <w:noProof/>
            <w:webHidden/>
          </w:rPr>
          <w:tab/>
        </w:r>
        <w:r>
          <w:rPr>
            <w:rStyle w:val="Hyperlink"/>
            <w:noProof/>
            <w:webHidden/>
          </w:rPr>
          <w:fldChar w:fldCharType="begin"/>
        </w:r>
        <w:r>
          <w:rPr>
            <w:rStyle w:val="Hyperlink"/>
            <w:noProof/>
            <w:webHidden/>
          </w:rPr>
          <w:instrText xml:space="preserve"> PAGEREF _Toc134183737 \h </w:instrText>
        </w:r>
        <w:r>
          <w:rPr>
            <w:rStyle w:val="Hyperlink"/>
            <w:noProof/>
            <w:webHidden/>
          </w:rPr>
        </w:r>
        <w:r>
          <w:rPr>
            <w:rStyle w:val="Hyperlink"/>
            <w:noProof/>
            <w:webHidden/>
          </w:rPr>
          <w:fldChar w:fldCharType="separate"/>
        </w:r>
        <w:r>
          <w:rPr>
            <w:rStyle w:val="Hyperlink"/>
            <w:noProof/>
            <w:webHidden/>
          </w:rPr>
          <w:t>9</w:t>
        </w:r>
        <w:r>
          <w:rPr>
            <w:rStyle w:val="Hyperlink"/>
            <w:noProof/>
            <w:webHidden/>
          </w:rPr>
          <w:fldChar w:fldCharType="end"/>
        </w:r>
      </w:hyperlink>
    </w:p>
    <w:p w14:paraId="4B84972C" w14:textId="77777777" w:rsidR="00895D17" w:rsidRDefault="00895D17" w:rsidP="00895D17">
      <w:pPr>
        <w:pStyle w:val="TableofFigures"/>
        <w:tabs>
          <w:tab w:val="right" w:leader="dot" w:pos="10790"/>
        </w:tabs>
        <w:rPr>
          <w:rFonts w:eastAsiaTheme="minorEastAsia"/>
          <w:noProof/>
        </w:rPr>
      </w:pPr>
      <w:hyperlink r:id="rId32" w:anchor="_Toc134183738" w:history="1">
        <w:r>
          <w:rPr>
            <w:rStyle w:val="Hyperlink"/>
            <w:noProof/>
          </w:rPr>
          <w:t>Figure 3: GHG Emissions of Transition Scenarios (Base – 2050)</w:t>
        </w:r>
        <w:r>
          <w:rPr>
            <w:rStyle w:val="Hyperlink"/>
            <w:noProof/>
            <w:webHidden/>
          </w:rPr>
          <w:tab/>
        </w:r>
        <w:r>
          <w:rPr>
            <w:rStyle w:val="Hyperlink"/>
            <w:noProof/>
            <w:webHidden/>
          </w:rPr>
          <w:fldChar w:fldCharType="begin"/>
        </w:r>
        <w:r>
          <w:rPr>
            <w:rStyle w:val="Hyperlink"/>
            <w:noProof/>
            <w:webHidden/>
          </w:rPr>
          <w:instrText xml:space="preserve"> PAGEREF _Toc134183738 \h </w:instrText>
        </w:r>
        <w:r>
          <w:rPr>
            <w:rStyle w:val="Hyperlink"/>
            <w:noProof/>
            <w:webHidden/>
          </w:rPr>
        </w:r>
        <w:r>
          <w:rPr>
            <w:rStyle w:val="Hyperlink"/>
            <w:noProof/>
            <w:webHidden/>
          </w:rPr>
          <w:fldChar w:fldCharType="separate"/>
        </w:r>
        <w:r>
          <w:rPr>
            <w:rStyle w:val="Hyperlink"/>
            <w:noProof/>
            <w:webHidden/>
          </w:rPr>
          <w:t>11</w:t>
        </w:r>
        <w:r>
          <w:rPr>
            <w:rStyle w:val="Hyperlink"/>
            <w:noProof/>
            <w:webHidden/>
          </w:rPr>
          <w:fldChar w:fldCharType="end"/>
        </w:r>
      </w:hyperlink>
    </w:p>
    <w:p w14:paraId="38A83DD7" w14:textId="77777777" w:rsidR="00895D17" w:rsidRDefault="00895D17" w:rsidP="00895D17">
      <w:pPr>
        <w:pStyle w:val="TableofFigures"/>
        <w:tabs>
          <w:tab w:val="right" w:leader="dot" w:pos="10790"/>
        </w:tabs>
        <w:rPr>
          <w:rFonts w:eastAsiaTheme="minorEastAsia"/>
          <w:noProof/>
        </w:rPr>
      </w:pPr>
      <w:hyperlink r:id="rId33" w:anchor="_Toc134183739" w:history="1">
        <w:r>
          <w:rPr>
            <w:rStyle w:val="Hyperlink"/>
            <w:noProof/>
          </w:rPr>
          <w:t>Figure 4: Carbon Monoxide Emissions at Full Transition</w:t>
        </w:r>
        <w:r>
          <w:rPr>
            <w:rStyle w:val="Hyperlink"/>
            <w:noProof/>
            <w:webHidden/>
          </w:rPr>
          <w:tab/>
        </w:r>
        <w:r>
          <w:rPr>
            <w:rStyle w:val="Hyperlink"/>
            <w:noProof/>
            <w:webHidden/>
          </w:rPr>
          <w:fldChar w:fldCharType="begin"/>
        </w:r>
        <w:r>
          <w:rPr>
            <w:rStyle w:val="Hyperlink"/>
            <w:noProof/>
            <w:webHidden/>
          </w:rPr>
          <w:instrText xml:space="preserve"> PAGEREF _Toc134183739 \h </w:instrText>
        </w:r>
        <w:r>
          <w:rPr>
            <w:rStyle w:val="Hyperlink"/>
            <w:noProof/>
            <w:webHidden/>
          </w:rPr>
        </w:r>
        <w:r>
          <w:rPr>
            <w:rStyle w:val="Hyperlink"/>
            <w:noProof/>
            <w:webHidden/>
          </w:rPr>
          <w:fldChar w:fldCharType="separate"/>
        </w:r>
        <w:r>
          <w:rPr>
            <w:rStyle w:val="Hyperlink"/>
            <w:noProof/>
            <w:webHidden/>
          </w:rPr>
          <w:t>12</w:t>
        </w:r>
        <w:r>
          <w:rPr>
            <w:rStyle w:val="Hyperlink"/>
            <w:noProof/>
            <w:webHidden/>
          </w:rPr>
          <w:fldChar w:fldCharType="end"/>
        </w:r>
      </w:hyperlink>
    </w:p>
    <w:p w14:paraId="29592631" w14:textId="77777777" w:rsidR="00895D17" w:rsidRDefault="00895D17" w:rsidP="00895D17">
      <w:pPr>
        <w:pStyle w:val="TableofFigures"/>
        <w:tabs>
          <w:tab w:val="right" w:leader="dot" w:pos="10790"/>
        </w:tabs>
        <w:rPr>
          <w:rFonts w:eastAsiaTheme="minorEastAsia"/>
          <w:noProof/>
        </w:rPr>
      </w:pPr>
      <w:hyperlink r:id="rId34" w:anchor="_Toc134183740" w:history="1">
        <w:r>
          <w:rPr>
            <w:rStyle w:val="Hyperlink"/>
            <w:noProof/>
          </w:rPr>
          <w:t>Figure 5: Nitrous Oxide (NO</w:t>
        </w:r>
        <w:r>
          <w:rPr>
            <w:rStyle w:val="Hyperlink"/>
            <w:noProof/>
            <w:vertAlign w:val="subscript"/>
          </w:rPr>
          <w:t>x</w:t>
        </w:r>
        <w:r>
          <w:rPr>
            <w:rStyle w:val="Hyperlink"/>
            <w:noProof/>
          </w:rPr>
          <w:t>) Emissions at Full Transition</w:t>
        </w:r>
        <w:r>
          <w:rPr>
            <w:rStyle w:val="Hyperlink"/>
            <w:noProof/>
            <w:webHidden/>
          </w:rPr>
          <w:tab/>
        </w:r>
        <w:r>
          <w:rPr>
            <w:rStyle w:val="Hyperlink"/>
            <w:noProof/>
            <w:webHidden/>
          </w:rPr>
          <w:fldChar w:fldCharType="begin"/>
        </w:r>
        <w:r>
          <w:rPr>
            <w:rStyle w:val="Hyperlink"/>
            <w:noProof/>
            <w:webHidden/>
          </w:rPr>
          <w:instrText xml:space="preserve"> PAGEREF _Toc134183740 \h </w:instrText>
        </w:r>
        <w:r>
          <w:rPr>
            <w:rStyle w:val="Hyperlink"/>
            <w:noProof/>
            <w:webHidden/>
          </w:rPr>
        </w:r>
        <w:r>
          <w:rPr>
            <w:rStyle w:val="Hyperlink"/>
            <w:noProof/>
            <w:webHidden/>
          </w:rPr>
          <w:fldChar w:fldCharType="separate"/>
        </w:r>
        <w:r>
          <w:rPr>
            <w:rStyle w:val="Hyperlink"/>
            <w:noProof/>
            <w:webHidden/>
          </w:rPr>
          <w:t>13</w:t>
        </w:r>
        <w:r>
          <w:rPr>
            <w:rStyle w:val="Hyperlink"/>
            <w:noProof/>
            <w:webHidden/>
          </w:rPr>
          <w:fldChar w:fldCharType="end"/>
        </w:r>
      </w:hyperlink>
    </w:p>
    <w:p w14:paraId="5C1AEB68" w14:textId="77777777" w:rsidR="00895D17" w:rsidRDefault="00895D17" w:rsidP="00895D17">
      <w:pPr>
        <w:pStyle w:val="TableofFigures"/>
        <w:tabs>
          <w:tab w:val="right" w:leader="dot" w:pos="10790"/>
        </w:tabs>
        <w:rPr>
          <w:rFonts w:eastAsiaTheme="minorEastAsia"/>
          <w:noProof/>
        </w:rPr>
      </w:pPr>
      <w:hyperlink r:id="rId35" w:anchor="_Toc134183741" w:history="1">
        <w:r>
          <w:rPr>
            <w:rStyle w:val="Hyperlink"/>
            <w:noProof/>
          </w:rPr>
          <w:t>Figure 6: Other Pollutant Emissions (PM</w:t>
        </w:r>
        <w:r>
          <w:rPr>
            <w:rStyle w:val="Hyperlink"/>
            <w:noProof/>
            <w:vertAlign w:val="subscript"/>
          </w:rPr>
          <w:t>10</w:t>
        </w:r>
        <w:r>
          <w:rPr>
            <w:rStyle w:val="Hyperlink"/>
            <w:noProof/>
          </w:rPr>
          <w:t>, PM</w:t>
        </w:r>
        <w:r>
          <w:rPr>
            <w:rStyle w:val="Hyperlink"/>
            <w:noProof/>
            <w:vertAlign w:val="subscript"/>
          </w:rPr>
          <w:t>2.5</w:t>
        </w:r>
        <w:r>
          <w:rPr>
            <w:rStyle w:val="Hyperlink"/>
            <w:noProof/>
          </w:rPr>
          <w:t>, VOC, and SO</w:t>
        </w:r>
        <w:r>
          <w:rPr>
            <w:rStyle w:val="Hyperlink"/>
            <w:noProof/>
            <w:vertAlign w:val="subscript"/>
          </w:rPr>
          <w:t>x</w:t>
        </w:r>
        <w:r>
          <w:rPr>
            <w:rStyle w:val="Hyperlink"/>
            <w:noProof/>
          </w:rPr>
          <w:t>) at Full Transition</w:t>
        </w:r>
        <w:r>
          <w:rPr>
            <w:rStyle w:val="Hyperlink"/>
            <w:noProof/>
            <w:webHidden/>
          </w:rPr>
          <w:tab/>
        </w:r>
        <w:r>
          <w:rPr>
            <w:rStyle w:val="Hyperlink"/>
            <w:noProof/>
            <w:webHidden/>
          </w:rPr>
          <w:fldChar w:fldCharType="begin"/>
        </w:r>
        <w:r>
          <w:rPr>
            <w:rStyle w:val="Hyperlink"/>
            <w:noProof/>
            <w:webHidden/>
          </w:rPr>
          <w:instrText xml:space="preserve"> PAGEREF _Toc134183741 \h </w:instrText>
        </w:r>
        <w:r>
          <w:rPr>
            <w:rStyle w:val="Hyperlink"/>
            <w:noProof/>
            <w:webHidden/>
          </w:rPr>
        </w:r>
        <w:r>
          <w:rPr>
            <w:rStyle w:val="Hyperlink"/>
            <w:noProof/>
            <w:webHidden/>
          </w:rPr>
          <w:fldChar w:fldCharType="separate"/>
        </w:r>
        <w:r>
          <w:rPr>
            <w:rStyle w:val="Hyperlink"/>
            <w:noProof/>
            <w:webHidden/>
          </w:rPr>
          <w:t>14</w:t>
        </w:r>
        <w:r>
          <w:rPr>
            <w:rStyle w:val="Hyperlink"/>
            <w:noProof/>
            <w:webHidden/>
          </w:rPr>
          <w:fldChar w:fldCharType="end"/>
        </w:r>
      </w:hyperlink>
    </w:p>
    <w:p w14:paraId="0FC5EB2C" w14:textId="77777777" w:rsidR="00895D17" w:rsidRDefault="00895D17" w:rsidP="00895D17">
      <w:pPr>
        <w:pStyle w:val="TableofFigures"/>
        <w:tabs>
          <w:tab w:val="right" w:leader="dot" w:pos="10790"/>
        </w:tabs>
      </w:pPr>
      <w:r>
        <w:fldChar w:fldCharType="end"/>
      </w:r>
    </w:p>
    <w:p w14:paraId="36DBAA29" w14:textId="77777777" w:rsidR="00895D17" w:rsidRDefault="00895D17" w:rsidP="00895D17">
      <w:pPr>
        <w:spacing w:after="0"/>
        <w:rPr>
          <w:rFonts w:asciiTheme="majorHAnsi" w:hAnsiTheme="majorHAnsi" w:cstheme="majorHAnsi"/>
          <w:color w:val="212C59" w:themeColor="accent1" w:themeShade="BF"/>
          <w:sz w:val="32"/>
          <w:szCs w:val="32"/>
        </w:rPr>
      </w:pPr>
      <w:bookmarkStart w:id="0" w:name="OLE_LINK13"/>
      <w:r>
        <w:rPr>
          <w:rFonts w:asciiTheme="majorHAnsi" w:hAnsiTheme="majorHAnsi" w:cstheme="majorHAnsi"/>
          <w:color w:val="212C59" w:themeColor="accent1" w:themeShade="BF"/>
          <w:sz w:val="32"/>
          <w:szCs w:val="32"/>
        </w:rPr>
        <w:t>Tables</w:t>
      </w:r>
    </w:p>
    <w:bookmarkEnd w:id="0"/>
    <w:p w14:paraId="241BC30F" w14:textId="77777777" w:rsidR="00895D17" w:rsidRDefault="00895D17" w:rsidP="00895D17">
      <w:pPr>
        <w:pStyle w:val="TableofFigures"/>
        <w:tabs>
          <w:tab w:val="right" w:leader="dot" w:pos="10790"/>
        </w:tabs>
        <w:rPr>
          <w:rFonts w:eastAsiaTheme="minorEastAsia"/>
          <w:noProof/>
        </w:rPr>
      </w:pPr>
      <w:r>
        <w:fldChar w:fldCharType="begin"/>
      </w:r>
      <w:r>
        <w:instrText xml:space="preserve"> TOC \h \z \c "Table" </w:instrText>
      </w:r>
      <w:r>
        <w:fldChar w:fldCharType="separate"/>
      </w:r>
      <w:hyperlink r:id="rId36" w:anchor="_Toc134183742" w:history="1">
        <w:r>
          <w:rPr>
            <w:rStyle w:val="Hyperlink"/>
            <w:noProof/>
          </w:rPr>
          <w:t>Table 1: CAT’s Fleet Inventory</w:t>
        </w:r>
        <w:r>
          <w:rPr>
            <w:rStyle w:val="Hyperlink"/>
            <w:noProof/>
            <w:webHidden/>
          </w:rPr>
          <w:tab/>
        </w:r>
        <w:r>
          <w:rPr>
            <w:rStyle w:val="Hyperlink"/>
            <w:noProof/>
            <w:webHidden/>
          </w:rPr>
          <w:fldChar w:fldCharType="begin"/>
        </w:r>
        <w:r>
          <w:rPr>
            <w:rStyle w:val="Hyperlink"/>
            <w:noProof/>
            <w:webHidden/>
          </w:rPr>
          <w:instrText xml:space="preserve"> PAGEREF _Toc134183742 \h </w:instrText>
        </w:r>
        <w:r>
          <w:rPr>
            <w:rStyle w:val="Hyperlink"/>
            <w:noProof/>
            <w:webHidden/>
          </w:rPr>
        </w:r>
        <w:r>
          <w:rPr>
            <w:rStyle w:val="Hyperlink"/>
            <w:noProof/>
            <w:webHidden/>
          </w:rPr>
          <w:fldChar w:fldCharType="separate"/>
        </w:r>
        <w:r>
          <w:rPr>
            <w:rStyle w:val="Hyperlink"/>
            <w:noProof/>
            <w:webHidden/>
          </w:rPr>
          <w:t>3</w:t>
        </w:r>
        <w:r>
          <w:rPr>
            <w:rStyle w:val="Hyperlink"/>
            <w:noProof/>
            <w:webHidden/>
          </w:rPr>
          <w:fldChar w:fldCharType="end"/>
        </w:r>
      </w:hyperlink>
    </w:p>
    <w:p w14:paraId="5816D9F5" w14:textId="77777777" w:rsidR="00895D17" w:rsidRDefault="00895D17" w:rsidP="00895D17">
      <w:pPr>
        <w:pStyle w:val="TableofFigures"/>
        <w:tabs>
          <w:tab w:val="right" w:leader="dot" w:pos="10790"/>
        </w:tabs>
        <w:rPr>
          <w:rFonts w:eastAsiaTheme="minorEastAsia"/>
          <w:noProof/>
        </w:rPr>
      </w:pPr>
      <w:hyperlink r:id="rId37" w:anchor="_Toc134183743" w:history="1">
        <w:r>
          <w:rPr>
            <w:rStyle w:val="Hyperlink"/>
            <w:noProof/>
          </w:rPr>
          <w:t>Table 2: Estimation of Future VMT by Scenario</w:t>
        </w:r>
        <w:r>
          <w:rPr>
            <w:rStyle w:val="Hyperlink"/>
            <w:noProof/>
            <w:webHidden/>
          </w:rPr>
          <w:tab/>
        </w:r>
        <w:r>
          <w:rPr>
            <w:rStyle w:val="Hyperlink"/>
            <w:noProof/>
            <w:webHidden/>
          </w:rPr>
          <w:fldChar w:fldCharType="begin"/>
        </w:r>
        <w:r>
          <w:rPr>
            <w:rStyle w:val="Hyperlink"/>
            <w:noProof/>
            <w:webHidden/>
          </w:rPr>
          <w:instrText xml:space="preserve"> PAGEREF _Toc134183743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14:paraId="7FB47F17" w14:textId="77777777" w:rsidR="00895D17" w:rsidRDefault="00895D17" w:rsidP="00895D17">
      <w:pPr>
        <w:pStyle w:val="TableofFigures"/>
        <w:tabs>
          <w:tab w:val="right" w:leader="dot" w:pos="10790"/>
        </w:tabs>
        <w:rPr>
          <w:rFonts w:eastAsiaTheme="minorEastAsia"/>
          <w:noProof/>
        </w:rPr>
      </w:pPr>
      <w:hyperlink r:id="rId38" w:anchor="_Toc134183744" w:history="1">
        <w:r>
          <w:rPr>
            <w:rStyle w:val="Hyperlink"/>
            <w:noProof/>
          </w:rPr>
          <w:t>Table 3: Planned CAT Fleet Expansion FY22-FY28</w:t>
        </w:r>
        <w:r>
          <w:rPr>
            <w:rStyle w:val="Hyperlink"/>
            <w:noProof/>
            <w:webHidden/>
          </w:rPr>
          <w:tab/>
        </w:r>
        <w:r>
          <w:rPr>
            <w:rStyle w:val="Hyperlink"/>
            <w:noProof/>
            <w:webHidden/>
          </w:rPr>
          <w:fldChar w:fldCharType="begin"/>
        </w:r>
        <w:r>
          <w:rPr>
            <w:rStyle w:val="Hyperlink"/>
            <w:noProof/>
            <w:webHidden/>
          </w:rPr>
          <w:instrText xml:space="preserve"> PAGEREF _Toc134183744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14:paraId="4A7C958F" w14:textId="77777777" w:rsidR="00895D17" w:rsidRDefault="00895D17" w:rsidP="00895D17">
      <w:pPr>
        <w:pStyle w:val="TableofFigures"/>
        <w:tabs>
          <w:tab w:val="right" w:leader="dot" w:pos="10790"/>
        </w:tabs>
        <w:rPr>
          <w:rFonts w:eastAsiaTheme="minorEastAsia"/>
          <w:noProof/>
        </w:rPr>
      </w:pPr>
      <w:hyperlink r:id="rId39" w:anchor="_Toc134183745" w:history="1">
        <w:r>
          <w:rPr>
            <w:rStyle w:val="Hyperlink"/>
            <w:noProof/>
          </w:rPr>
          <w:t>Table 4: GHG Emissions and Reductions</w:t>
        </w:r>
        <w:r>
          <w:rPr>
            <w:rStyle w:val="Hyperlink"/>
            <w:noProof/>
            <w:webHidden/>
          </w:rPr>
          <w:tab/>
        </w:r>
        <w:r>
          <w:rPr>
            <w:rStyle w:val="Hyperlink"/>
            <w:noProof/>
            <w:webHidden/>
          </w:rPr>
          <w:fldChar w:fldCharType="begin"/>
        </w:r>
        <w:r>
          <w:rPr>
            <w:rStyle w:val="Hyperlink"/>
            <w:noProof/>
            <w:webHidden/>
          </w:rPr>
          <w:instrText xml:space="preserve"> PAGEREF _Toc134183745 \h </w:instrText>
        </w:r>
        <w:r>
          <w:rPr>
            <w:rStyle w:val="Hyperlink"/>
            <w:noProof/>
            <w:webHidden/>
          </w:rPr>
        </w:r>
        <w:r>
          <w:rPr>
            <w:rStyle w:val="Hyperlink"/>
            <w:noProof/>
            <w:webHidden/>
          </w:rPr>
          <w:fldChar w:fldCharType="separate"/>
        </w:r>
        <w:r>
          <w:rPr>
            <w:rStyle w:val="Hyperlink"/>
            <w:noProof/>
            <w:webHidden/>
          </w:rPr>
          <w:t>11</w:t>
        </w:r>
        <w:r>
          <w:rPr>
            <w:rStyle w:val="Hyperlink"/>
            <w:noProof/>
            <w:webHidden/>
          </w:rPr>
          <w:fldChar w:fldCharType="end"/>
        </w:r>
      </w:hyperlink>
    </w:p>
    <w:p w14:paraId="288260B3" w14:textId="77777777" w:rsidR="00895D17" w:rsidRDefault="00895D17" w:rsidP="00895D17">
      <w:pPr>
        <w:pStyle w:val="Heading1"/>
      </w:pPr>
      <w:r>
        <w:fldChar w:fldCharType="end"/>
      </w:r>
      <w:bookmarkStart w:id="1" w:name="_Toc134183716"/>
      <w:r>
        <w:t>Introduction</w:t>
      </w:r>
      <w:bookmarkEnd w:id="1"/>
    </w:p>
    <w:p w14:paraId="2CC46D06" w14:textId="14EC5256" w:rsidR="00895D17" w:rsidRDefault="00895D17" w:rsidP="00895D17">
      <w:r>
        <w:t xml:space="preserve">In response to the severe negative affects posed by climate change to the Charlottesville and global community, the City of Charlottesville, in 2019, adopted new greenhouse (GHG) emissions reduction goals of 45% of 2011 levels by 2030 and reaching carbon neutrality by 2050. The City of Charlottesville also adopted a community climate action plan in </w:t>
      </w:r>
      <w:r w:rsidR="00866017">
        <w:t>January of 2023</w:t>
      </w:r>
      <w:r>
        <w:t xml:space="preserve"> which outlined strategies </w:t>
      </w:r>
      <w:r w:rsidR="00D95D2B">
        <w:t xml:space="preserve">and key actions </w:t>
      </w:r>
      <w:r>
        <w:t xml:space="preserve">to reduce the GHG emissions from core sectors </w:t>
      </w:r>
      <w:proofErr w:type="gramStart"/>
      <w:r>
        <w:t>in order to</w:t>
      </w:r>
      <w:proofErr w:type="gramEnd"/>
      <w:r>
        <w:t xml:space="preserve"> hit their desired emission targets. As indicated in the plan, the transportation sector is responsible for approximately 30% of Charlottesville’s total GHG emissions. Therefore, a key objective of the climate action plan is for Charlottesville Area Transit (CAT), the main transportation agency in the city, to transition their transit fleet to </w:t>
      </w:r>
      <w:r w:rsidR="00AC3DB2">
        <w:t>zero-carbon</w:t>
      </w:r>
      <w:r>
        <w:t xml:space="preserve"> vehicles. </w:t>
      </w:r>
    </w:p>
    <w:p w14:paraId="0697494A" w14:textId="77777777" w:rsidR="00895D17" w:rsidRDefault="00895D17" w:rsidP="00895D17">
      <w:r>
        <w:t xml:space="preserve">This document seeks to display the climate and health implications of transitioning the current CAT fleet to an </w:t>
      </w:r>
      <w:proofErr w:type="gramStart"/>
      <w:r>
        <w:t>alternatively-fueled</w:t>
      </w:r>
      <w:proofErr w:type="gramEnd"/>
      <w:r>
        <w:t xml:space="preserve"> option. This document is a partner evaluation to a technical and economic feasibility assessment conducted concurrently as this combination of metrics and impacts are needed to make informed decisions that are aligned with the City’s climate goals. Understanding the emissions reductions associated with the alternatives will inform the GHG reduction scenarios and projections work towards achieving the adopted GHG Reduction Goals.</w:t>
      </w:r>
    </w:p>
    <w:p w14:paraId="74E341A5" w14:textId="77777777" w:rsidR="00895D17" w:rsidRDefault="00895D17" w:rsidP="00895D17">
      <w:pPr>
        <w:pStyle w:val="Heading1"/>
      </w:pPr>
      <w:bookmarkStart w:id="2" w:name="_Toc134183717"/>
      <w:r>
        <w:t>Background</w:t>
      </w:r>
      <w:bookmarkEnd w:id="2"/>
      <w:r>
        <w:t xml:space="preserve"> </w:t>
      </w:r>
    </w:p>
    <w:p w14:paraId="4D5A45C3" w14:textId="77777777" w:rsidR="00895D17" w:rsidRDefault="00895D17" w:rsidP="00895D17">
      <w:pPr>
        <w:rPr>
          <w:rStyle w:val="Emphasis"/>
        </w:rPr>
      </w:pPr>
      <w:r>
        <w:t xml:space="preserve">CAT transit fleet is comprised of 36 vehicles as of Spring 2023. The fleet varies in terms of fuels and bus sizes. The size and composition of CAT’s fleet can be seen in </w:t>
      </w:r>
      <w:r>
        <w:rPr>
          <w:b/>
          <w:bCs/>
        </w:rPr>
        <w:fldChar w:fldCharType="begin"/>
      </w:r>
      <w:r>
        <w:rPr>
          <w:b/>
          <w:bCs/>
        </w:rPr>
        <w:instrText xml:space="preserve"> REF _Ref133818045 \h  \* MERGEFORMAT </w:instrText>
      </w:r>
      <w:r>
        <w:rPr>
          <w:b/>
          <w:bCs/>
        </w:rPr>
      </w:r>
      <w:r>
        <w:rPr>
          <w:b/>
          <w:bCs/>
        </w:rPr>
        <w:fldChar w:fldCharType="separate"/>
      </w:r>
      <w:r>
        <w:rPr>
          <w:b/>
          <w:bCs/>
        </w:rPr>
        <w:t xml:space="preserve">Table </w:t>
      </w:r>
      <w:r>
        <w:rPr>
          <w:b/>
          <w:bCs/>
          <w:noProof/>
        </w:rPr>
        <w:t>1</w:t>
      </w:r>
      <w:r>
        <w:rPr>
          <w:b/>
          <w:bCs/>
        </w:rPr>
        <w:fldChar w:fldCharType="end"/>
      </w:r>
      <w:r>
        <w:t xml:space="preserve">. </w:t>
      </w:r>
    </w:p>
    <w:p w14:paraId="1B331632" w14:textId="77777777" w:rsidR="00895D17" w:rsidRDefault="00895D17" w:rsidP="00895D17">
      <w:pPr>
        <w:pStyle w:val="Caption"/>
        <w:keepNext/>
        <w:jc w:val="center"/>
      </w:pPr>
      <w:bookmarkStart w:id="3" w:name="_Ref133818045"/>
      <w:bookmarkStart w:id="4" w:name="_Toc134183742"/>
      <w:r>
        <w:t xml:space="preserve">Table </w:t>
      </w:r>
      <w:r>
        <w:fldChar w:fldCharType="begin"/>
      </w:r>
      <w:r>
        <w:instrText xml:space="preserve"> SEQ Table \* ARABIC </w:instrText>
      </w:r>
      <w:r>
        <w:fldChar w:fldCharType="separate"/>
      </w:r>
      <w:r>
        <w:rPr>
          <w:noProof/>
        </w:rPr>
        <w:t>1</w:t>
      </w:r>
      <w:r>
        <w:fldChar w:fldCharType="end"/>
      </w:r>
      <w:bookmarkEnd w:id="3"/>
      <w:r>
        <w:t>: CAT’s Fleet Inventory</w:t>
      </w:r>
      <w:bookmarkEnd w:id="4"/>
    </w:p>
    <w:tbl>
      <w:tblPr>
        <w:tblStyle w:val="TableGrid"/>
        <w:tblW w:w="0" w:type="auto"/>
        <w:jc w:val="center"/>
        <w:tblInd w:w="0" w:type="dxa"/>
        <w:tblLook w:val="04A0" w:firstRow="1" w:lastRow="0" w:firstColumn="1" w:lastColumn="0" w:noHBand="0" w:noVBand="1"/>
      </w:tblPr>
      <w:tblGrid>
        <w:gridCol w:w="2697"/>
        <w:gridCol w:w="2697"/>
        <w:gridCol w:w="2698"/>
      </w:tblGrid>
      <w:tr w:rsidR="00895D17" w14:paraId="5C180355" w14:textId="77777777" w:rsidTr="00895D17">
        <w:trPr>
          <w:jc w:val="center"/>
        </w:trPr>
        <w:tc>
          <w:tcPr>
            <w:tcW w:w="2697" w:type="dxa"/>
            <w:tcBorders>
              <w:top w:val="single" w:sz="4" w:space="0" w:color="auto"/>
              <w:left w:val="single" w:sz="4" w:space="0" w:color="auto"/>
              <w:bottom w:val="single" w:sz="4" w:space="0" w:color="auto"/>
              <w:right w:val="single" w:sz="4" w:space="0" w:color="auto"/>
            </w:tcBorders>
            <w:shd w:val="clear" w:color="auto" w:fill="2C3C77" w:themeFill="accent1"/>
            <w:hideMark/>
          </w:tcPr>
          <w:p w14:paraId="11E7332A" w14:textId="77777777" w:rsidR="00895D17" w:rsidRDefault="00895D17">
            <w:pPr>
              <w:jc w:val="center"/>
              <w:rPr>
                <w:b/>
                <w:bCs/>
                <w:color w:val="FFFFFF" w:themeColor="background1"/>
              </w:rPr>
            </w:pPr>
            <w:r>
              <w:rPr>
                <w:b/>
                <w:bCs/>
                <w:color w:val="FFFFFF" w:themeColor="background1"/>
              </w:rPr>
              <w:t>Bus Type</w:t>
            </w:r>
          </w:p>
        </w:tc>
        <w:tc>
          <w:tcPr>
            <w:tcW w:w="2697" w:type="dxa"/>
            <w:tcBorders>
              <w:top w:val="single" w:sz="4" w:space="0" w:color="auto"/>
              <w:left w:val="single" w:sz="4" w:space="0" w:color="auto"/>
              <w:bottom w:val="single" w:sz="4" w:space="0" w:color="auto"/>
              <w:right w:val="single" w:sz="4" w:space="0" w:color="auto"/>
            </w:tcBorders>
            <w:shd w:val="clear" w:color="auto" w:fill="2C3C77" w:themeFill="accent1"/>
            <w:hideMark/>
          </w:tcPr>
          <w:p w14:paraId="6DA2922B" w14:textId="77777777" w:rsidR="00895D17" w:rsidRDefault="00895D17">
            <w:pPr>
              <w:jc w:val="center"/>
              <w:rPr>
                <w:b/>
                <w:bCs/>
                <w:color w:val="FFFFFF" w:themeColor="background1"/>
              </w:rPr>
            </w:pPr>
            <w:r>
              <w:rPr>
                <w:b/>
                <w:bCs/>
                <w:color w:val="FFFFFF" w:themeColor="background1"/>
              </w:rPr>
              <w:t>Fuel</w:t>
            </w:r>
          </w:p>
        </w:tc>
        <w:tc>
          <w:tcPr>
            <w:tcW w:w="2698" w:type="dxa"/>
            <w:tcBorders>
              <w:top w:val="single" w:sz="4" w:space="0" w:color="auto"/>
              <w:left w:val="single" w:sz="4" w:space="0" w:color="auto"/>
              <w:bottom w:val="single" w:sz="4" w:space="0" w:color="auto"/>
              <w:right w:val="single" w:sz="4" w:space="0" w:color="auto"/>
            </w:tcBorders>
            <w:shd w:val="clear" w:color="auto" w:fill="2C3C77" w:themeFill="accent1"/>
            <w:hideMark/>
          </w:tcPr>
          <w:p w14:paraId="10CE7981" w14:textId="77777777" w:rsidR="00895D17" w:rsidRDefault="00895D17">
            <w:pPr>
              <w:jc w:val="center"/>
              <w:rPr>
                <w:b/>
                <w:bCs/>
                <w:color w:val="FFFFFF" w:themeColor="background1"/>
              </w:rPr>
            </w:pPr>
            <w:r>
              <w:rPr>
                <w:b/>
                <w:bCs/>
                <w:color w:val="FFFFFF" w:themeColor="background1"/>
              </w:rPr>
              <w:t>Quantity</w:t>
            </w:r>
          </w:p>
        </w:tc>
      </w:tr>
      <w:tr w:rsidR="00895D17" w14:paraId="077B7140" w14:textId="77777777" w:rsidTr="00895D17">
        <w:trPr>
          <w:jc w:val="center"/>
        </w:trPr>
        <w:tc>
          <w:tcPr>
            <w:tcW w:w="2697" w:type="dxa"/>
            <w:tcBorders>
              <w:top w:val="single" w:sz="4" w:space="0" w:color="auto"/>
              <w:left w:val="single" w:sz="4" w:space="0" w:color="auto"/>
              <w:bottom w:val="single" w:sz="4" w:space="0" w:color="auto"/>
              <w:right w:val="single" w:sz="4" w:space="0" w:color="auto"/>
            </w:tcBorders>
            <w:hideMark/>
          </w:tcPr>
          <w:p w14:paraId="2044B9EF" w14:textId="77777777" w:rsidR="00895D17" w:rsidRDefault="00895D17">
            <w:pPr>
              <w:jc w:val="center"/>
            </w:pPr>
            <w:r>
              <w:t>35’ Low Floor Bus</w:t>
            </w:r>
          </w:p>
        </w:tc>
        <w:tc>
          <w:tcPr>
            <w:tcW w:w="2697" w:type="dxa"/>
            <w:tcBorders>
              <w:top w:val="single" w:sz="4" w:space="0" w:color="auto"/>
              <w:left w:val="single" w:sz="4" w:space="0" w:color="auto"/>
              <w:bottom w:val="single" w:sz="4" w:space="0" w:color="auto"/>
              <w:right w:val="single" w:sz="4" w:space="0" w:color="auto"/>
            </w:tcBorders>
            <w:hideMark/>
          </w:tcPr>
          <w:p w14:paraId="079DC870" w14:textId="77777777" w:rsidR="00895D17" w:rsidRDefault="00895D17">
            <w:pPr>
              <w:jc w:val="center"/>
            </w:pPr>
            <w:r>
              <w:t>Diesel</w:t>
            </w:r>
          </w:p>
        </w:tc>
        <w:tc>
          <w:tcPr>
            <w:tcW w:w="2698" w:type="dxa"/>
            <w:tcBorders>
              <w:top w:val="single" w:sz="4" w:space="0" w:color="auto"/>
              <w:left w:val="single" w:sz="4" w:space="0" w:color="auto"/>
              <w:bottom w:val="single" w:sz="4" w:space="0" w:color="auto"/>
              <w:right w:val="single" w:sz="4" w:space="0" w:color="auto"/>
            </w:tcBorders>
            <w:hideMark/>
          </w:tcPr>
          <w:p w14:paraId="4B1F3685" w14:textId="77777777" w:rsidR="00895D17" w:rsidRDefault="00895D17">
            <w:pPr>
              <w:jc w:val="center"/>
            </w:pPr>
            <w:r>
              <w:t>21</w:t>
            </w:r>
          </w:p>
        </w:tc>
      </w:tr>
      <w:tr w:rsidR="00895D17" w14:paraId="50294FF7" w14:textId="77777777" w:rsidTr="00895D17">
        <w:trPr>
          <w:jc w:val="center"/>
        </w:trPr>
        <w:tc>
          <w:tcPr>
            <w:tcW w:w="2697" w:type="dxa"/>
            <w:tcBorders>
              <w:top w:val="single" w:sz="4" w:space="0" w:color="auto"/>
              <w:left w:val="single" w:sz="4" w:space="0" w:color="auto"/>
              <w:bottom w:val="single" w:sz="4" w:space="0" w:color="auto"/>
              <w:right w:val="single" w:sz="4" w:space="0" w:color="auto"/>
            </w:tcBorders>
            <w:hideMark/>
          </w:tcPr>
          <w:p w14:paraId="25B44B11" w14:textId="77777777" w:rsidR="00895D17" w:rsidRDefault="00895D17">
            <w:pPr>
              <w:jc w:val="center"/>
            </w:pPr>
            <w:r>
              <w:t>29’ Low Floor Bus</w:t>
            </w:r>
          </w:p>
        </w:tc>
        <w:tc>
          <w:tcPr>
            <w:tcW w:w="2697" w:type="dxa"/>
            <w:tcBorders>
              <w:top w:val="single" w:sz="4" w:space="0" w:color="auto"/>
              <w:left w:val="single" w:sz="4" w:space="0" w:color="auto"/>
              <w:bottom w:val="single" w:sz="4" w:space="0" w:color="auto"/>
              <w:right w:val="single" w:sz="4" w:space="0" w:color="auto"/>
            </w:tcBorders>
            <w:hideMark/>
          </w:tcPr>
          <w:p w14:paraId="10B0821A" w14:textId="77777777" w:rsidR="00895D17" w:rsidRDefault="00895D17">
            <w:pPr>
              <w:jc w:val="center"/>
            </w:pPr>
            <w:r>
              <w:t>Diesel-Electric Hybrid</w:t>
            </w:r>
          </w:p>
        </w:tc>
        <w:tc>
          <w:tcPr>
            <w:tcW w:w="2698" w:type="dxa"/>
            <w:tcBorders>
              <w:top w:val="single" w:sz="4" w:space="0" w:color="auto"/>
              <w:left w:val="single" w:sz="4" w:space="0" w:color="auto"/>
              <w:bottom w:val="single" w:sz="4" w:space="0" w:color="auto"/>
              <w:right w:val="single" w:sz="4" w:space="0" w:color="auto"/>
            </w:tcBorders>
            <w:hideMark/>
          </w:tcPr>
          <w:p w14:paraId="5E7BD864" w14:textId="77777777" w:rsidR="00895D17" w:rsidRDefault="00895D17">
            <w:pPr>
              <w:jc w:val="center"/>
            </w:pPr>
            <w:r>
              <w:t>10</w:t>
            </w:r>
          </w:p>
        </w:tc>
      </w:tr>
      <w:tr w:rsidR="00895D17" w14:paraId="32749DA9" w14:textId="77777777" w:rsidTr="00895D17">
        <w:trPr>
          <w:jc w:val="center"/>
        </w:trPr>
        <w:tc>
          <w:tcPr>
            <w:tcW w:w="2697" w:type="dxa"/>
            <w:tcBorders>
              <w:top w:val="single" w:sz="4" w:space="0" w:color="auto"/>
              <w:left w:val="single" w:sz="4" w:space="0" w:color="auto"/>
              <w:bottom w:val="single" w:sz="4" w:space="0" w:color="auto"/>
              <w:right w:val="single" w:sz="4" w:space="0" w:color="auto"/>
            </w:tcBorders>
            <w:hideMark/>
          </w:tcPr>
          <w:p w14:paraId="5BED9630" w14:textId="77777777" w:rsidR="00895D17" w:rsidRDefault="00895D17">
            <w:pPr>
              <w:jc w:val="center"/>
            </w:pPr>
            <w:r>
              <w:t>29’ Low Floor Bus</w:t>
            </w:r>
          </w:p>
        </w:tc>
        <w:tc>
          <w:tcPr>
            <w:tcW w:w="2697" w:type="dxa"/>
            <w:tcBorders>
              <w:top w:val="single" w:sz="4" w:space="0" w:color="auto"/>
              <w:left w:val="single" w:sz="4" w:space="0" w:color="auto"/>
              <w:bottom w:val="single" w:sz="4" w:space="0" w:color="auto"/>
              <w:right w:val="single" w:sz="4" w:space="0" w:color="auto"/>
            </w:tcBorders>
            <w:hideMark/>
          </w:tcPr>
          <w:p w14:paraId="44A79903" w14:textId="77777777" w:rsidR="00895D17" w:rsidRDefault="00895D17">
            <w:pPr>
              <w:jc w:val="center"/>
            </w:pPr>
            <w:r>
              <w:t>Diesel</w:t>
            </w:r>
          </w:p>
        </w:tc>
        <w:tc>
          <w:tcPr>
            <w:tcW w:w="2698" w:type="dxa"/>
            <w:tcBorders>
              <w:top w:val="single" w:sz="4" w:space="0" w:color="auto"/>
              <w:left w:val="single" w:sz="4" w:space="0" w:color="auto"/>
              <w:bottom w:val="single" w:sz="4" w:space="0" w:color="auto"/>
              <w:right w:val="single" w:sz="4" w:space="0" w:color="auto"/>
            </w:tcBorders>
            <w:hideMark/>
          </w:tcPr>
          <w:p w14:paraId="6CA5DF4E" w14:textId="77777777" w:rsidR="00895D17" w:rsidRDefault="00895D17">
            <w:pPr>
              <w:jc w:val="center"/>
            </w:pPr>
            <w:r>
              <w:t>1</w:t>
            </w:r>
          </w:p>
        </w:tc>
      </w:tr>
      <w:tr w:rsidR="00895D17" w14:paraId="5FEE10E4" w14:textId="77777777" w:rsidTr="00895D17">
        <w:trPr>
          <w:jc w:val="center"/>
        </w:trPr>
        <w:tc>
          <w:tcPr>
            <w:tcW w:w="2697" w:type="dxa"/>
            <w:tcBorders>
              <w:top w:val="single" w:sz="4" w:space="0" w:color="auto"/>
              <w:left w:val="single" w:sz="4" w:space="0" w:color="auto"/>
              <w:bottom w:val="single" w:sz="4" w:space="0" w:color="auto"/>
              <w:right w:val="single" w:sz="4" w:space="0" w:color="auto"/>
            </w:tcBorders>
            <w:hideMark/>
          </w:tcPr>
          <w:p w14:paraId="3ED12CA5" w14:textId="77777777" w:rsidR="00895D17" w:rsidRDefault="00895D17">
            <w:pPr>
              <w:jc w:val="center"/>
            </w:pPr>
            <w:r>
              <w:t>26’ Body-on-Chassis</w:t>
            </w:r>
          </w:p>
        </w:tc>
        <w:tc>
          <w:tcPr>
            <w:tcW w:w="2697" w:type="dxa"/>
            <w:tcBorders>
              <w:top w:val="single" w:sz="4" w:space="0" w:color="auto"/>
              <w:left w:val="single" w:sz="4" w:space="0" w:color="auto"/>
              <w:bottom w:val="single" w:sz="4" w:space="0" w:color="auto"/>
              <w:right w:val="single" w:sz="4" w:space="0" w:color="auto"/>
            </w:tcBorders>
            <w:hideMark/>
          </w:tcPr>
          <w:p w14:paraId="79AA7E05" w14:textId="77777777" w:rsidR="00895D17" w:rsidRDefault="00895D17">
            <w:pPr>
              <w:jc w:val="center"/>
            </w:pPr>
            <w:r>
              <w:t>Gasoline</w:t>
            </w:r>
          </w:p>
        </w:tc>
        <w:tc>
          <w:tcPr>
            <w:tcW w:w="2698" w:type="dxa"/>
            <w:tcBorders>
              <w:top w:val="single" w:sz="4" w:space="0" w:color="auto"/>
              <w:left w:val="single" w:sz="4" w:space="0" w:color="auto"/>
              <w:bottom w:val="single" w:sz="4" w:space="0" w:color="auto"/>
              <w:right w:val="single" w:sz="4" w:space="0" w:color="auto"/>
            </w:tcBorders>
            <w:hideMark/>
          </w:tcPr>
          <w:p w14:paraId="1CB17BFB" w14:textId="77777777" w:rsidR="00895D17" w:rsidRDefault="00895D17">
            <w:pPr>
              <w:jc w:val="center"/>
            </w:pPr>
            <w:r>
              <w:t>3</w:t>
            </w:r>
          </w:p>
        </w:tc>
      </w:tr>
      <w:tr w:rsidR="00895D17" w14:paraId="49A085B0" w14:textId="77777777" w:rsidTr="00895D17">
        <w:trPr>
          <w:jc w:val="center"/>
        </w:trPr>
        <w:tc>
          <w:tcPr>
            <w:tcW w:w="2697" w:type="dxa"/>
            <w:tcBorders>
              <w:top w:val="single" w:sz="4" w:space="0" w:color="auto"/>
              <w:left w:val="single" w:sz="4" w:space="0" w:color="auto"/>
              <w:bottom w:val="single" w:sz="4" w:space="0" w:color="auto"/>
              <w:right w:val="single" w:sz="4" w:space="0" w:color="auto"/>
            </w:tcBorders>
            <w:hideMark/>
          </w:tcPr>
          <w:p w14:paraId="4B0AEA52" w14:textId="77777777" w:rsidR="00895D17" w:rsidRDefault="00895D17">
            <w:pPr>
              <w:jc w:val="center"/>
            </w:pPr>
            <w:r>
              <w:t>26’ Body-on-Chassis</w:t>
            </w:r>
          </w:p>
        </w:tc>
        <w:tc>
          <w:tcPr>
            <w:tcW w:w="2697" w:type="dxa"/>
            <w:tcBorders>
              <w:top w:val="single" w:sz="4" w:space="0" w:color="auto"/>
              <w:left w:val="single" w:sz="4" w:space="0" w:color="auto"/>
              <w:bottom w:val="single" w:sz="4" w:space="0" w:color="auto"/>
              <w:right w:val="single" w:sz="4" w:space="0" w:color="auto"/>
            </w:tcBorders>
            <w:hideMark/>
          </w:tcPr>
          <w:p w14:paraId="7CCC306A" w14:textId="77777777" w:rsidR="00895D17" w:rsidRDefault="00895D17">
            <w:pPr>
              <w:jc w:val="center"/>
            </w:pPr>
            <w:r>
              <w:t>Diesel</w:t>
            </w:r>
          </w:p>
        </w:tc>
        <w:tc>
          <w:tcPr>
            <w:tcW w:w="2698" w:type="dxa"/>
            <w:tcBorders>
              <w:top w:val="single" w:sz="4" w:space="0" w:color="auto"/>
              <w:left w:val="single" w:sz="4" w:space="0" w:color="auto"/>
              <w:bottom w:val="single" w:sz="4" w:space="0" w:color="auto"/>
              <w:right w:val="single" w:sz="4" w:space="0" w:color="auto"/>
            </w:tcBorders>
            <w:hideMark/>
          </w:tcPr>
          <w:p w14:paraId="406A508A" w14:textId="77777777" w:rsidR="00895D17" w:rsidRDefault="00895D17">
            <w:pPr>
              <w:jc w:val="center"/>
            </w:pPr>
            <w:r>
              <w:t>1</w:t>
            </w:r>
          </w:p>
        </w:tc>
      </w:tr>
    </w:tbl>
    <w:p w14:paraId="2E359CB0" w14:textId="77777777" w:rsidR="00895D17" w:rsidRDefault="00895D17" w:rsidP="00895D17"/>
    <w:p w14:paraId="59C8C70E" w14:textId="42386A49" w:rsidR="00895D17" w:rsidRDefault="00895D17" w:rsidP="00895D17">
      <w:r>
        <w:t xml:space="preserve">CAT is </w:t>
      </w:r>
      <w:r w:rsidR="001477AE">
        <w:t>planning</w:t>
      </w:r>
      <w:r>
        <w:t xml:space="preserve"> to expand its fleet size to 58 buses by 2028 to increase the frequency and reliability of its service as part of the CAT Optimization Plan. The expansion began in FY22 (the delivery of the procured vehicles has been delayed to 2023) and will finish in FY28. Along with the expansion of CAT’s transit fleet, CAT is also altering the composition of its fleet: </w:t>
      </w:r>
    </w:p>
    <w:p w14:paraId="068949FE" w14:textId="77777777" w:rsidR="00895D17" w:rsidRDefault="00895D17" w:rsidP="00895D17">
      <w:pPr>
        <w:pStyle w:val="ListBullet"/>
      </w:pPr>
      <w:r>
        <w:t>No longer purchasing hybrid diesel-electric buses. As of Spring 2023, replace hybrid buses with diesel buses due to the hybrid buses’ costly maintenance issues.</w:t>
      </w:r>
    </w:p>
    <w:p w14:paraId="5BE849F2" w14:textId="77777777" w:rsidR="00895D17" w:rsidRDefault="00895D17" w:rsidP="00895D17">
      <w:pPr>
        <w:pStyle w:val="ListBullet"/>
      </w:pPr>
      <w:r>
        <w:t xml:space="preserve">Procure additional gasoline 26’ body-on-chassis (BOC) buses to expand fleet on a short-term </w:t>
      </w:r>
      <w:proofErr w:type="gramStart"/>
      <w:r>
        <w:t>basis, but</w:t>
      </w:r>
      <w:proofErr w:type="gramEnd"/>
      <w:r>
        <w:t xml:space="preserve"> replace the BOCs with 29’ low floor buses as the BOCs reach their scheduled replacement date.</w:t>
      </w:r>
    </w:p>
    <w:p w14:paraId="7969BD59" w14:textId="77777777" w:rsidR="00895D17" w:rsidRDefault="00895D17" w:rsidP="00895D17">
      <w:pPr>
        <w:pStyle w:val="ListBullet"/>
      </w:pPr>
      <w:r>
        <w:t xml:space="preserve">Procure two BEB buses in FY2025 as a pilot deployment to familiarize planning and maintenance staff with the technical capacity and restraints of the new bus technology. </w:t>
      </w:r>
    </w:p>
    <w:p w14:paraId="689209DF" w14:textId="77777777" w:rsidR="00895D17" w:rsidRDefault="00895D17" w:rsidP="00895D17">
      <w:r>
        <w:rPr>
          <w:b/>
          <w:bCs/>
        </w:rPr>
        <w:fldChar w:fldCharType="begin"/>
      </w:r>
      <w:r>
        <w:rPr>
          <w:b/>
          <w:bCs/>
        </w:rPr>
        <w:instrText xml:space="preserve"> REF _Ref134162463 \h  \* MERGEFORMAT </w:instrText>
      </w:r>
      <w:r>
        <w:rPr>
          <w:b/>
          <w:bCs/>
        </w:rPr>
      </w:r>
      <w:r>
        <w:rPr>
          <w:b/>
          <w:bCs/>
        </w:rPr>
        <w:fldChar w:fldCharType="separate"/>
      </w:r>
      <w:r>
        <w:rPr>
          <w:b/>
          <w:bCs/>
        </w:rPr>
        <w:t xml:space="preserve">Figure </w:t>
      </w:r>
      <w:r>
        <w:rPr>
          <w:b/>
          <w:bCs/>
          <w:noProof/>
        </w:rPr>
        <w:t>1</w:t>
      </w:r>
      <w:r>
        <w:rPr>
          <w:b/>
          <w:bCs/>
        </w:rPr>
        <w:fldChar w:fldCharType="end"/>
      </w:r>
      <w:r>
        <w:t xml:space="preserve"> shows the planned quantity and composition of CAT’s fleet year-by-year given the current replacement schedule. Note that this plan indicates that replacements in 2028 and beyond will be with alternative-fueled buses. See the accompanying </w:t>
      </w:r>
      <w:r>
        <w:rPr>
          <w:i/>
          <w:iCs/>
        </w:rPr>
        <w:t>CAT Facility Design and Zero Emissions Vehicles Feasibility Study</w:t>
      </w:r>
      <w:r>
        <w:t xml:space="preserve"> for more details regarding this transition plan.</w:t>
      </w:r>
      <w:r>
        <w:br w:type="page"/>
      </w:r>
    </w:p>
    <w:p w14:paraId="4591AAAB" w14:textId="77777777" w:rsidR="00895D17" w:rsidRDefault="00895D17" w:rsidP="00895D17">
      <w:pPr>
        <w:pStyle w:val="Caption"/>
        <w:keepNext/>
        <w:jc w:val="center"/>
      </w:pPr>
      <w:bookmarkStart w:id="5" w:name="_Ref134162463"/>
      <w:bookmarkStart w:id="6" w:name="_Toc134183736"/>
      <w:r>
        <w:t xml:space="preserve">Figure </w:t>
      </w:r>
      <w:r>
        <w:fldChar w:fldCharType="begin"/>
      </w:r>
      <w:r>
        <w:instrText xml:space="preserve"> SEQ Figure \* ARABIC </w:instrText>
      </w:r>
      <w:r>
        <w:fldChar w:fldCharType="separate"/>
      </w:r>
      <w:r>
        <w:rPr>
          <w:noProof/>
        </w:rPr>
        <w:t>1</w:t>
      </w:r>
      <w:r>
        <w:fldChar w:fldCharType="end"/>
      </w:r>
      <w:bookmarkEnd w:id="5"/>
      <w:r>
        <w:t>: CAT’s Fleet Composition by Year</w:t>
      </w:r>
      <w:bookmarkEnd w:id="6"/>
    </w:p>
    <w:p w14:paraId="004D493A" w14:textId="55ED3F44" w:rsidR="00895D17" w:rsidRDefault="00895D17" w:rsidP="00895D17">
      <w:pPr>
        <w:jc w:val="center"/>
      </w:pPr>
      <w:r>
        <w:rPr>
          <w:noProof/>
        </w:rPr>
        <w:drawing>
          <wp:inline distT="0" distB="0" distL="0" distR="0" wp14:anchorId="413141FA" wp14:editId="2C33AFD5">
            <wp:extent cx="6419215" cy="3712210"/>
            <wp:effectExtent l="0" t="0" r="635" b="2540"/>
            <wp:docPr id="7" name="Chart 7">
              <a:extLst xmlns:a="http://schemas.openxmlformats.org/drawingml/2006/main">
                <a:ext uri="{FF2B5EF4-FFF2-40B4-BE49-F238E27FC236}">
                  <a16:creationId xmlns:a16="http://schemas.microsoft.com/office/drawing/2014/main" id="{A15FF7BD-5542-41C5-A4A1-BD6CAD418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FEE726" w14:textId="77777777" w:rsidR="00895D17" w:rsidRDefault="00895D17" w:rsidP="00895D17">
      <w:pPr>
        <w:pStyle w:val="Caption"/>
      </w:pPr>
      <w:r>
        <w:t>*Alternative fuel may be battery electric, hydrogen, or gas propulsion system.</w:t>
      </w:r>
    </w:p>
    <w:p w14:paraId="60F675AB" w14:textId="5DE57BB3" w:rsidR="00895D17" w:rsidRDefault="00895D17" w:rsidP="00895D17">
      <w:r>
        <w:t>As the diesel and gasoline buses in CAT’s</w:t>
      </w:r>
      <w:r w:rsidR="001477AE">
        <w:t xml:space="preserve"> fleet</w:t>
      </w:r>
      <w:r>
        <w:t xml:space="preserve"> reach their useful life balance (ULB)</w:t>
      </w:r>
      <w:r>
        <w:rPr>
          <w:rStyle w:val="FootnoteReference"/>
        </w:rPr>
        <w:footnoteReference w:id="1"/>
      </w:r>
      <w:r>
        <w:t xml:space="preserve">, CAT can begin to purchase alternatively fueled buses to replace the diesel and gasoline buses. CAT is considering three different fuel types/technologies as options to transition their fleet to: </w:t>
      </w:r>
    </w:p>
    <w:p w14:paraId="6A0D19AE" w14:textId="77777777" w:rsidR="00895D17" w:rsidRDefault="00895D17" w:rsidP="00895D17">
      <w:pPr>
        <w:pStyle w:val="ListBullet"/>
      </w:pPr>
      <w:r>
        <w:t>battery electric buses,</w:t>
      </w:r>
    </w:p>
    <w:p w14:paraId="139F0C05" w14:textId="77777777" w:rsidR="00895D17" w:rsidRDefault="00895D17" w:rsidP="00895D17">
      <w:pPr>
        <w:pStyle w:val="ListBullet"/>
      </w:pPr>
      <w:r>
        <w:t>hydrogen fuel cell electric buses (also known as fuel cell, hydrogen, and hydrogen-electric fuel cell), and</w:t>
      </w:r>
    </w:p>
    <w:p w14:paraId="579CCD31" w14:textId="480C720C" w:rsidR="00895D17" w:rsidRDefault="00895D17" w:rsidP="00895D17">
      <w:pPr>
        <w:pStyle w:val="ListBullet"/>
      </w:pPr>
      <w:r>
        <w:t xml:space="preserve">natural gas buses (including buses fueled with </w:t>
      </w:r>
      <w:r w:rsidR="00777B18">
        <w:t xml:space="preserve">renewable </w:t>
      </w:r>
      <w:r>
        <w:t xml:space="preserve">natural gas). </w:t>
      </w:r>
    </w:p>
    <w:p w14:paraId="3578C58A" w14:textId="77777777" w:rsidR="00895D17" w:rsidRDefault="00895D17" w:rsidP="00895D17">
      <w:r>
        <w:t xml:space="preserve">The technical capacity and feasibility of the three fuel types and technologies are detailed in the feasibility study memo. This memo will detail the climate and health impacts of a transition to the three potential fuel types with the </w:t>
      </w:r>
      <w:proofErr w:type="gramStart"/>
      <w:r>
        <w:t>main focus</w:t>
      </w:r>
      <w:proofErr w:type="gramEnd"/>
      <w:r>
        <w:t xml:space="preserve"> on the emissions produced through the operation of CAT’s transit fleet and the production of the fuel.</w:t>
      </w:r>
    </w:p>
    <w:p w14:paraId="753F18D2" w14:textId="77777777" w:rsidR="00895D17" w:rsidRDefault="00895D17" w:rsidP="00895D17">
      <w:pPr>
        <w:pStyle w:val="Heading2"/>
      </w:pPr>
      <w:bookmarkStart w:id="7" w:name="_Toc134183718"/>
      <w:r>
        <w:t>Targeted Emissions</w:t>
      </w:r>
      <w:bookmarkEnd w:id="7"/>
    </w:p>
    <w:p w14:paraId="10A81A64" w14:textId="4567ED33" w:rsidR="00895D17" w:rsidRDefault="00895D17" w:rsidP="00895D17">
      <w:bookmarkStart w:id="8" w:name="OLE_LINK3"/>
      <w:r>
        <w:t xml:space="preserve">A byproduct of the operation of motor vehicles is the emission of gasses and </w:t>
      </w:r>
      <w:r w:rsidR="00747CCE">
        <w:t xml:space="preserve">particulate </w:t>
      </w:r>
      <w:r>
        <w:t xml:space="preserve">matter which affect the environments where released. The following is a list and </w:t>
      </w:r>
      <w:r w:rsidR="00747CCE">
        <w:t>description</w:t>
      </w:r>
      <w:r>
        <w:t xml:space="preserve"> of the most common emissions from vehicle operations and their effects on local and global environments and their inhabitants. </w:t>
      </w:r>
    </w:p>
    <w:p w14:paraId="1C092999" w14:textId="7E636DE8" w:rsidR="00895D17" w:rsidRDefault="00895D17" w:rsidP="00895D17">
      <w:r>
        <w:rPr>
          <w:b/>
          <w:bCs/>
        </w:rPr>
        <w:t xml:space="preserve">Carbon Monoxide </w:t>
      </w:r>
      <w:r>
        <w:t>(CO) is a colorless and odorless gas which is emitted through the incomplete combustion of carbon-contained fuels (California Air Resources Board, n.d.). The most common source of CO is through the combustion of fossil fuels from automobiles and other machinery. CO is harmful to humans and wildlife as inhaling CO emissions will reduce the amount of oxygen one’s blood can carry and thus interferes with the delivery of oxygen to vital organs. The inhalation of CO can cause dizziness, confusion, unconsciousness, and even death at high concentrations likely occurring indoors or in enclosed areas. The severe effects of CO inhalation are unlikely to occur outside, but higher levels of CO emissions in the local environment can cause chest pain and a decrease in exercise tolerance, with the elderly, children, and individuals with heart disease more likely to be affected. CO emissions can also contribute to birth defects when inhaled by expect</w:t>
      </w:r>
      <w:r w:rsidR="00247741">
        <w:t>ant</w:t>
      </w:r>
      <w:r>
        <w:t xml:space="preserve"> mothers.</w:t>
      </w:r>
    </w:p>
    <w:p w14:paraId="268DA00F" w14:textId="77777777" w:rsidR="00895D17" w:rsidRDefault="00895D17" w:rsidP="00895D17">
      <w:bookmarkStart w:id="9" w:name="OLE_LINK4"/>
      <w:bookmarkEnd w:id="8"/>
      <w:r>
        <w:t xml:space="preserve">CO emissions are less impactful to the environment than to human health. The United States Environmental Protection Agency (EPA) did not identify any ecological effects of CO emissions at ambient outdoor levels, but CO can react with other pollutants in the air to produce ozone which is a greenhouse gas and thus CO is classified as a short-lived climate forcing agent (California Air Resources Board, n.d.). </w:t>
      </w:r>
    </w:p>
    <w:p w14:paraId="2242323F" w14:textId="1BF92D27" w:rsidR="00895D17" w:rsidRDefault="00895D17" w:rsidP="00895D17">
      <w:r>
        <w:rPr>
          <w:b/>
          <w:bCs/>
        </w:rPr>
        <w:t>Greenhouse Gas Emissions</w:t>
      </w:r>
      <w:r>
        <w:t xml:space="preserve"> (GHGs) are a waste product of processes, such as the burning of fossil fuels, that trap heat in the atmosphere. The two most abundant </w:t>
      </w:r>
      <w:r w:rsidR="00247741">
        <w:t>greenhouse gases</w:t>
      </w:r>
      <w:r>
        <w:t xml:space="preserve"> are carbon dioxide (CO</w:t>
      </w:r>
      <w:r>
        <w:rPr>
          <w:vertAlign w:val="subscript"/>
        </w:rPr>
        <w:t>2</w:t>
      </w:r>
      <w:r>
        <w:t>) and methane (CH</w:t>
      </w:r>
      <w:r>
        <w:rPr>
          <w:vertAlign w:val="subscript"/>
        </w:rPr>
        <w:t>4</w:t>
      </w:r>
      <w:r>
        <w:t>)</w:t>
      </w:r>
      <w:r w:rsidR="00C05905">
        <w:t>, making up 80% and 10%, respectively, of emissions</w:t>
      </w:r>
      <w:r>
        <w:t xml:space="preserve"> (EPA, 2022).</w:t>
      </w:r>
    </w:p>
    <w:p w14:paraId="608E69B6" w14:textId="022FDD8F" w:rsidR="00895D17" w:rsidRDefault="00895D17" w:rsidP="00895D17">
      <w:r>
        <w:t xml:space="preserve">The increased solar radiation trapped in the Earth’s atmosphere by GHGs causes a rise in average global temperatures. The long-term rise in global temperatures results in the disruption of the usual balance of local and global climate and weather patterns. Increased severe weather events such as drought or flash floods, a rise in sea level, loss of biodiversity, and other critical impacts will result due to rising global temperatures. Local effects of climate change on Charlottesville will be the significant increase in the frequency, duration, and intensity of extreme heat, changing seasonal patterns, and the increase in intensity of storms and flooding in </w:t>
      </w:r>
      <w:r>
        <w:br/>
        <w:t xml:space="preserve">Charlottesville </w:t>
      </w:r>
      <w:sdt>
        <w:sdtPr>
          <w:id w:val="-490641914"/>
          <w:citation/>
        </w:sdtPr>
        <w:sdtContent>
          <w:r>
            <w:fldChar w:fldCharType="begin"/>
          </w:r>
          <w:r>
            <w:instrText xml:space="preserve"> CITATION Cit21 \l 1033 </w:instrText>
          </w:r>
          <w:r>
            <w:fldChar w:fldCharType="separate"/>
          </w:r>
          <w:r>
            <w:rPr>
              <w:noProof/>
            </w:rPr>
            <w:t>(City of Charlottesville, 2021)</w:t>
          </w:r>
          <w:r>
            <w:fldChar w:fldCharType="end"/>
          </w:r>
        </w:sdtContent>
      </w:sdt>
      <w:r>
        <w:t>.</w:t>
      </w:r>
    </w:p>
    <w:p w14:paraId="527A4841" w14:textId="77777777" w:rsidR="00895D17" w:rsidRDefault="00895D17" w:rsidP="00895D17">
      <w:pPr>
        <w:rPr>
          <w:rFonts w:asciiTheme="majorHAnsi" w:hAnsiTheme="majorHAnsi" w:cstheme="majorHAnsi"/>
          <w:color w:val="1B1B1B"/>
          <w:szCs w:val="20"/>
          <w:shd w:val="clear" w:color="auto" w:fill="FFFFFF"/>
        </w:rPr>
      </w:pPr>
      <w:r>
        <w:rPr>
          <w:rFonts w:asciiTheme="majorHAnsi" w:hAnsiTheme="majorHAnsi" w:cstheme="majorHAnsi"/>
          <w:b/>
          <w:bCs/>
          <w:color w:val="1B1B1B"/>
          <w:szCs w:val="20"/>
          <w:shd w:val="clear" w:color="auto" w:fill="FFFFFF"/>
        </w:rPr>
        <w:t>Nitrogen Oxides</w:t>
      </w:r>
      <w:r>
        <w:rPr>
          <w:rFonts w:asciiTheme="majorHAnsi" w:hAnsiTheme="majorHAnsi" w:cstheme="majorHAnsi"/>
          <w:color w:val="1B1B1B"/>
          <w:szCs w:val="20"/>
          <w:shd w:val="clear" w:color="auto" w:fill="FFFFFF"/>
        </w:rPr>
        <w:t xml:space="preserve"> (NO</w:t>
      </w:r>
      <w:bookmarkStart w:id="10" w:name="OLE_LINK11"/>
      <w:r>
        <w:rPr>
          <w:rFonts w:asciiTheme="majorHAnsi" w:hAnsiTheme="majorHAnsi" w:cstheme="majorHAnsi"/>
          <w:color w:val="1B1B1B"/>
          <w:szCs w:val="20"/>
          <w:shd w:val="clear" w:color="auto" w:fill="FFFFFF"/>
          <w:vertAlign w:val="subscript"/>
        </w:rPr>
        <w:t>x</w:t>
      </w:r>
      <w:bookmarkEnd w:id="10"/>
      <w:r>
        <w:rPr>
          <w:rFonts w:asciiTheme="majorHAnsi" w:hAnsiTheme="majorHAnsi" w:cstheme="majorHAnsi"/>
          <w:color w:val="1B1B1B"/>
          <w:szCs w:val="20"/>
          <w:shd w:val="clear" w:color="auto" w:fill="FFFFFF"/>
        </w:rPr>
        <w:t>) are a family of poisonous, highly reactive gases. These gases form when fuel is burned at high temperatures. NO</w:t>
      </w:r>
      <w:r>
        <w:rPr>
          <w:rFonts w:asciiTheme="majorHAnsi" w:hAnsiTheme="majorHAnsi" w:cstheme="majorHAnsi"/>
          <w:color w:val="1B1B1B"/>
          <w:szCs w:val="20"/>
          <w:shd w:val="clear" w:color="auto" w:fill="FFFFFF"/>
          <w:vertAlign w:val="subscript"/>
        </w:rPr>
        <w:t>x</w:t>
      </w:r>
      <w:r>
        <w:rPr>
          <w:rFonts w:asciiTheme="majorHAnsi" w:hAnsiTheme="majorHAnsi" w:cstheme="majorHAnsi"/>
          <w:color w:val="1B1B1B"/>
          <w:szCs w:val="20"/>
          <w:shd w:val="clear" w:color="auto" w:fill="FFFFFF"/>
        </w:rPr>
        <w:t xml:space="preserve"> pollution is emitted by automobiles, trucks, and various non-road vehicles (e.g., construction equipment, boats, etc.) as well as industrial sources such as power plants, industrial boilers, cement kilns, and turbines. NO</w:t>
      </w:r>
      <w:r>
        <w:rPr>
          <w:rFonts w:asciiTheme="majorHAnsi" w:hAnsiTheme="majorHAnsi" w:cstheme="majorHAnsi"/>
          <w:color w:val="1B1B1B"/>
          <w:szCs w:val="20"/>
          <w:shd w:val="clear" w:color="auto" w:fill="FFFFFF"/>
          <w:vertAlign w:val="subscript"/>
        </w:rPr>
        <w:t>x</w:t>
      </w:r>
      <w:r>
        <w:rPr>
          <w:rFonts w:asciiTheme="majorHAnsi" w:hAnsiTheme="majorHAnsi" w:cstheme="majorHAnsi"/>
          <w:color w:val="1B1B1B"/>
          <w:szCs w:val="20"/>
          <w:shd w:val="clear" w:color="auto" w:fill="FFFFFF"/>
        </w:rPr>
        <w:t xml:space="preserve"> often appears as a brownish gas.</w:t>
      </w:r>
    </w:p>
    <w:p w14:paraId="3832B6FC" w14:textId="77777777" w:rsidR="00895D17" w:rsidRDefault="00895D17" w:rsidP="00895D17">
      <w:pPr>
        <w:rPr>
          <w:rFonts w:asciiTheme="majorHAnsi" w:hAnsiTheme="majorHAnsi" w:cstheme="majorHAnsi"/>
          <w:color w:val="1B1B1B"/>
          <w:szCs w:val="20"/>
          <w:shd w:val="clear" w:color="auto" w:fill="FFFFFF"/>
        </w:rPr>
      </w:pPr>
      <w:r>
        <w:rPr>
          <w:rFonts w:asciiTheme="majorHAnsi" w:hAnsiTheme="majorHAnsi" w:cstheme="majorHAnsi"/>
          <w:color w:val="1B1B1B"/>
          <w:szCs w:val="20"/>
          <w:shd w:val="clear" w:color="auto" w:fill="FFFFFF"/>
        </w:rPr>
        <w:t>Breathing air with a high concentration of NO</w:t>
      </w:r>
      <w:r>
        <w:rPr>
          <w:rFonts w:asciiTheme="majorHAnsi" w:hAnsiTheme="majorHAnsi" w:cstheme="majorHAnsi"/>
          <w:color w:val="1B1B1B"/>
          <w:szCs w:val="20"/>
          <w:shd w:val="clear" w:color="auto" w:fill="FFFFFF"/>
          <w:vertAlign w:val="subscript"/>
        </w:rPr>
        <w:t>2</w:t>
      </w:r>
      <w:r>
        <w:rPr>
          <w:rFonts w:asciiTheme="majorHAnsi" w:hAnsiTheme="majorHAnsi" w:cstheme="majorHAnsi"/>
          <w:color w:val="1B1B1B"/>
          <w:szCs w:val="20"/>
          <w:shd w:val="clear" w:color="auto" w:fill="FFFFFF"/>
        </w:rPr>
        <w:t> can irritate airways in the human respiratory system. Such exposures over short periods can aggravate respiratory diseases, particularly asthma, leading to respiratory symptoms (such as coughing, wheezing or difficulty breathing), hospital admissions and visits to emergency rooms. Longer exposures to elevated concentrations of NO</w:t>
      </w:r>
      <w:r>
        <w:rPr>
          <w:rFonts w:asciiTheme="majorHAnsi" w:hAnsiTheme="majorHAnsi" w:cstheme="majorHAnsi"/>
          <w:color w:val="1B1B1B"/>
          <w:szCs w:val="20"/>
          <w:shd w:val="clear" w:color="auto" w:fill="FFFFFF"/>
          <w:vertAlign w:val="subscript"/>
        </w:rPr>
        <w:t>2</w:t>
      </w:r>
      <w:r>
        <w:rPr>
          <w:rFonts w:asciiTheme="majorHAnsi" w:hAnsiTheme="majorHAnsi" w:cstheme="majorHAnsi"/>
          <w:color w:val="1B1B1B"/>
          <w:szCs w:val="20"/>
          <w:shd w:val="clear" w:color="auto" w:fill="FFFFFF"/>
        </w:rPr>
        <w:t> may contribute to the development of asthma and potentially increase susceptibility to respiratory infections. People with asthma, as well as children and the elderly are generally at greater risk for the health effects of NO</w:t>
      </w:r>
      <w:r>
        <w:rPr>
          <w:rFonts w:asciiTheme="majorHAnsi" w:hAnsiTheme="majorHAnsi" w:cstheme="majorHAnsi"/>
          <w:color w:val="1B1B1B"/>
          <w:szCs w:val="20"/>
          <w:shd w:val="clear" w:color="auto" w:fill="FFFFFF"/>
          <w:vertAlign w:val="subscript"/>
        </w:rPr>
        <w:t>2</w:t>
      </w:r>
      <w:r>
        <w:rPr>
          <w:rFonts w:asciiTheme="majorHAnsi" w:hAnsiTheme="majorHAnsi" w:cstheme="majorHAnsi"/>
          <w:color w:val="1B1B1B"/>
          <w:szCs w:val="20"/>
          <w:shd w:val="clear" w:color="auto" w:fill="FFFFFF"/>
        </w:rPr>
        <w:t xml:space="preserve"> (</w:t>
      </w:r>
      <w:bookmarkStart w:id="11" w:name="OLE_LINK7"/>
      <w:r>
        <w:rPr>
          <w:rFonts w:asciiTheme="majorHAnsi" w:hAnsiTheme="majorHAnsi" w:cstheme="majorHAnsi"/>
          <w:color w:val="1B1B1B"/>
          <w:szCs w:val="20"/>
          <w:shd w:val="clear" w:color="auto" w:fill="FFFFFF"/>
        </w:rPr>
        <w:t xml:space="preserve">EPA, n.d.). </w:t>
      </w:r>
      <w:bookmarkEnd w:id="11"/>
      <w:r>
        <w:rPr>
          <w:rFonts w:asciiTheme="majorHAnsi" w:hAnsiTheme="majorHAnsi" w:cstheme="majorHAnsi"/>
          <w:color w:val="1B1B1B"/>
          <w:szCs w:val="20"/>
          <w:shd w:val="clear" w:color="auto" w:fill="FFFFFF"/>
        </w:rPr>
        <w:t>NO</w:t>
      </w:r>
      <w:r>
        <w:rPr>
          <w:rFonts w:asciiTheme="majorHAnsi" w:hAnsiTheme="majorHAnsi" w:cstheme="majorHAnsi"/>
          <w:color w:val="1B1B1B"/>
          <w:szCs w:val="20"/>
          <w:shd w:val="clear" w:color="auto" w:fill="FFFFFF"/>
          <w:vertAlign w:val="subscript"/>
        </w:rPr>
        <w:t>2</w:t>
      </w:r>
      <w:r>
        <w:rPr>
          <w:rFonts w:asciiTheme="majorHAnsi" w:hAnsiTheme="majorHAnsi" w:cstheme="majorHAnsi"/>
          <w:color w:val="1B1B1B"/>
          <w:szCs w:val="20"/>
          <w:shd w:val="clear" w:color="auto" w:fill="FFFFFF"/>
        </w:rPr>
        <w:t> along with other NO</w:t>
      </w:r>
      <w:r>
        <w:rPr>
          <w:rFonts w:asciiTheme="majorHAnsi" w:hAnsiTheme="majorHAnsi" w:cstheme="majorHAnsi"/>
          <w:color w:val="1B1B1B"/>
          <w:szCs w:val="20"/>
          <w:shd w:val="clear" w:color="auto" w:fill="FFFFFF"/>
          <w:vertAlign w:val="subscript"/>
        </w:rPr>
        <w:t>x</w:t>
      </w:r>
      <w:r>
        <w:rPr>
          <w:rFonts w:asciiTheme="majorHAnsi" w:hAnsiTheme="majorHAnsi" w:cstheme="majorHAnsi"/>
          <w:color w:val="1B1B1B"/>
          <w:szCs w:val="20"/>
          <w:shd w:val="clear" w:color="auto" w:fill="FFFFFF"/>
        </w:rPr>
        <w:t xml:space="preserve"> reacts with other chemicals in the air to form both particulate matter and ozone. Both are also harmful when inhaled due to effects on the respiratory system.</w:t>
      </w:r>
    </w:p>
    <w:p w14:paraId="0CA2C56E" w14:textId="77777777" w:rsidR="00895D17" w:rsidRDefault="00895D17" w:rsidP="00895D17">
      <w:r>
        <w:rPr>
          <w:b/>
          <w:bCs/>
        </w:rPr>
        <w:t xml:space="preserve">Sulfur Oxides </w:t>
      </w:r>
      <w:r>
        <w:t>(</w:t>
      </w:r>
      <w:proofErr w:type="spellStart"/>
      <w:r>
        <w:t>SO</w:t>
      </w:r>
      <w:r>
        <w:rPr>
          <w:rFonts w:asciiTheme="majorHAnsi" w:hAnsiTheme="majorHAnsi" w:cstheme="majorHAnsi"/>
          <w:color w:val="1B1B1B"/>
          <w:szCs w:val="20"/>
          <w:shd w:val="clear" w:color="auto" w:fill="FFFFFF"/>
          <w:vertAlign w:val="subscript"/>
        </w:rPr>
        <w:t>x</w:t>
      </w:r>
      <w:proofErr w:type="spellEnd"/>
      <w:r>
        <w:t>) is a group of gases primarily consisting of SO</w:t>
      </w:r>
      <w:r>
        <w:rPr>
          <w:vertAlign w:val="subscript"/>
        </w:rPr>
        <w:t xml:space="preserve">2 </w:t>
      </w:r>
      <w:r>
        <w:t>and SO</w:t>
      </w:r>
      <w:r>
        <w:rPr>
          <w:vertAlign w:val="subscript"/>
        </w:rPr>
        <w:t>3</w:t>
      </w:r>
      <w:r>
        <w:t xml:space="preserve">. </w:t>
      </w:r>
      <w:proofErr w:type="spellStart"/>
      <w:r>
        <w:t>SO</w:t>
      </w:r>
      <w:r>
        <w:rPr>
          <w:vertAlign w:val="subscript"/>
        </w:rPr>
        <w:t>x</w:t>
      </w:r>
      <w:proofErr w:type="spellEnd"/>
      <w:r>
        <w:rPr>
          <w:vertAlign w:val="subscript"/>
        </w:rPr>
        <w:t xml:space="preserve"> </w:t>
      </w:r>
      <w:r>
        <w:t>are commonly emitted through the burning of fossil fuels from power plants and industrial facilities as well as motor vehicles which burn fuels with a high sulfur content (</w:t>
      </w:r>
      <w:r>
        <w:rPr>
          <w:rFonts w:asciiTheme="majorHAnsi" w:hAnsiTheme="majorHAnsi" w:cstheme="majorHAnsi"/>
          <w:color w:val="1B1B1B"/>
          <w:szCs w:val="20"/>
          <w:shd w:val="clear" w:color="auto" w:fill="FFFFFF"/>
        </w:rPr>
        <w:t>EPA, n.d.</w:t>
      </w:r>
      <w:r>
        <w:t>). Short-term exposures to SO</w:t>
      </w:r>
      <w:r>
        <w:rPr>
          <w:vertAlign w:val="subscript"/>
        </w:rPr>
        <w:t>2</w:t>
      </w:r>
      <w:r>
        <w:t> can harm the human respiratory system and make breathing difficult. People with asthma, particularly children, are sensitive to these effects of SO</w:t>
      </w:r>
      <w:r>
        <w:rPr>
          <w:vertAlign w:val="subscript"/>
        </w:rPr>
        <w:t>2</w:t>
      </w:r>
      <w:r>
        <w:t xml:space="preserve">. </w:t>
      </w:r>
      <w:proofErr w:type="spellStart"/>
      <w:r>
        <w:t>SO</w:t>
      </w:r>
      <w:r>
        <w:rPr>
          <w:rFonts w:asciiTheme="majorHAnsi" w:hAnsiTheme="majorHAnsi" w:cstheme="majorHAnsi"/>
          <w:color w:val="1B1B1B"/>
          <w:szCs w:val="20"/>
          <w:shd w:val="clear" w:color="auto" w:fill="FFFFFF"/>
          <w:vertAlign w:val="subscript"/>
        </w:rPr>
        <w:t>x</w:t>
      </w:r>
      <w:proofErr w:type="spellEnd"/>
      <w:r>
        <w:t xml:space="preserve"> can also react to other gases in the atmosphere to from particulate matter pollution, the effects of which is detailed further on in the memo. Higher concentrations of </w:t>
      </w:r>
      <w:proofErr w:type="spellStart"/>
      <w:r>
        <w:t>SO</w:t>
      </w:r>
      <w:r>
        <w:rPr>
          <w:rFonts w:asciiTheme="majorHAnsi" w:hAnsiTheme="majorHAnsi" w:cstheme="majorHAnsi"/>
          <w:color w:val="1B1B1B"/>
          <w:szCs w:val="20"/>
          <w:shd w:val="clear" w:color="auto" w:fill="FFFFFF"/>
          <w:vertAlign w:val="subscript"/>
        </w:rPr>
        <w:t>x</w:t>
      </w:r>
      <w:proofErr w:type="spellEnd"/>
      <w:r>
        <w:t xml:space="preserve"> can also harm local flora by damaging foliage and reducing growth.  </w:t>
      </w:r>
    </w:p>
    <w:p w14:paraId="5B7CC54E" w14:textId="77777777" w:rsidR="00895D17" w:rsidRDefault="00895D17" w:rsidP="00895D17">
      <w:r>
        <w:rPr>
          <w:b/>
          <w:bCs/>
        </w:rPr>
        <w:t>Volatile Organic Compounds</w:t>
      </w:r>
      <w:r>
        <w:t xml:space="preserve"> (VOC) are a form of chemical that exist in a gaseous state, emitted during various manufacturing processes and can be harmful to health in both the short and long-term (EPA, n.d.). While VOCs can take many forms both harmful and benign, for the purposes of this report VOCs will refer to pollutant gasses emitted through electrical generation and combustion processes. VOCs can affect the respiratory and central nervous systems at high concentrations, and some VOCs are carcinogenic. VOCs can also react with NO</w:t>
      </w:r>
      <w:r>
        <w:rPr>
          <w:rFonts w:asciiTheme="majorHAnsi" w:hAnsiTheme="majorHAnsi" w:cstheme="majorHAnsi"/>
          <w:color w:val="1B1B1B"/>
          <w:szCs w:val="20"/>
          <w:shd w:val="clear" w:color="auto" w:fill="FFFFFF"/>
          <w:vertAlign w:val="subscript"/>
        </w:rPr>
        <w:t>x</w:t>
      </w:r>
      <w:r>
        <w:t xml:space="preserve"> emissions to produce ozone pollution, a common component in smog (American Lung Association, n.d.).</w:t>
      </w:r>
    </w:p>
    <w:p w14:paraId="5CAA31F4" w14:textId="77777777" w:rsidR="00895D17" w:rsidRDefault="00895D17" w:rsidP="00895D17">
      <w:r>
        <w:rPr>
          <w:b/>
          <w:bCs/>
        </w:rPr>
        <w:t>Particulate Matter</w:t>
      </w:r>
      <w:r>
        <w:t xml:space="preserve"> (PM) is an air pollutant consisting of solid particles and liquid droplets. </w:t>
      </w:r>
      <w:r>
        <w:rPr>
          <w:b/>
          <w:bCs/>
        </w:rPr>
        <w:t>PM</w:t>
      </w:r>
      <w:r>
        <w:rPr>
          <w:b/>
          <w:bCs/>
          <w:vertAlign w:val="subscript"/>
        </w:rPr>
        <w:t>2.5</w:t>
      </w:r>
      <w:r>
        <w:t xml:space="preserve"> (diameter &lt;2.5 micrometers) and </w:t>
      </w:r>
      <w:r>
        <w:rPr>
          <w:b/>
          <w:bCs/>
        </w:rPr>
        <w:t>PM</w:t>
      </w:r>
      <w:r>
        <w:rPr>
          <w:b/>
          <w:bCs/>
          <w:vertAlign w:val="subscript"/>
        </w:rPr>
        <w:t>10</w:t>
      </w:r>
      <w:r>
        <w:t xml:space="preserve"> (diameter &lt;10 micrometers) are the sizes of particulate matter that are commonly measured in the environment, are inhalable, and are harmful to human health (United States Environmental Protection Agency, n.d.). PM can be created through the weathering of brake pads and rubber tires, but most PM in the atmosphere is from chemical reactions of NO</w:t>
      </w:r>
      <w:r>
        <w:rPr>
          <w:rFonts w:asciiTheme="majorHAnsi" w:hAnsiTheme="majorHAnsi" w:cstheme="majorHAnsi"/>
          <w:color w:val="1B1B1B"/>
          <w:szCs w:val="20"/>
          <w:shd w:val="clear" w:color="auto" w:fill="FFFFFF"/>
          <w:vertAlign w:val="subscript"/>
        </w:rPr>
        <w:t>x</w:t>
      </w:r>
      <w:r>
        <w:t xml:space="preserve"> and </w:t>
      </w:r>
      <w:proofErr w:type="spellStart"/>
      <w:r>
        <w:t>SO</w:t>
      </w:r>
      <w:r>
        <w:rPr>
          <w:rFonts w:asciiTheme="majorHAnsi" w:hAnsiTheme="majorHAnsi" w:cstheme="majorHAnsi"/>
          <w:color w:val="1B1B1B"/>
          <w:szCs w:val="20"/>
          <w:shd w:val="clear" w:color="auto" w:fill="FFFFFF"/>
          <w:vertAlign w:val="subscript"/>
        </w:rPr>
        <w:t>x</w:t>
      </w:r>
      <w:proofErr w:type="spellEnd"/>
      <w:r>
        <w:t xml:space="preserve"> gases produced from fossil fuel power plants and internal combustion engines. </w:t>
      </w:r>
    </w:p>
    <w:p w14:paraId="084B37B5" w14:textId="77777777" w:rsidR="00895D17" w:rsidRDefault="00895D17" w:rsidP="00895D17">
      <w:bookmarkStart w:id="12" w:name="OLE_LINK5"/>
      <w:bookmarkEnd w:id="9"/>
      <w:r>
        <w:t>The microscopic size of PM emissions exacerbates its negative impact on human health as the PM can become deeply embedded into the lungs and even enter the bloodstream; PM</w:t>
      </w:r>
      <w:r>
        <w:rPr>
          <w:vertAlign w:val="subscript"/>
        </w:rPr>
        <w:t>2.5</w:t>
      </w:r>
      <w:r>
        <w:t xml:space="preserve"> is more harmful to human health compared to PM</w:t>
      </w:r>
      <w:r>
        <w:rPr>
          <w:vertAlign w:val="subscript"/>
        </w:rPr>
        <w:t>10</w:t>
      </w:r>
      <w:r>
        <w:t xml:space="preserve"> due to its smaller size. PM emissions are also one of the largest components, along with ozone, comprising smog.</w:t>
      </w:r>
    </w:p>
    <w:p w14:paraId="48A4DAF8" w14:textId="77777777" w:rsidR="00895D17" w:rsidRDefault="00895D17" w:rsidP="00895D17">
      <w:pPr>
        <w:pStyle w:val="Heading1"/>
      </w:pPr>
      <w:bookmarkStart w:id="13" w:name="_Toc134183719"/>
      <w:bookmarkEnd w:id="12"/>
      <w:r>
        <w:t>Methodology</w:t>
      </w:r>
      <w:bookmarkEnd w:id="13"/>
    </w:p>
    <w:p w14:paraId="7771291E" w14:textId="77777777" w:rsidR="00895D17" w:rsidRDefault="00895D17" w:rsidP="00895D17">
      <w:r>
        <w:t>This section describes the methodology used in this analysis. Sections consist of analysis tools, data sources, scenario development, electric grid assumptions, and renewable natural gas assumptions.</w:t>
      </w:r>
    </w:p>
    <w:p w14:paraId="4B43599C" w14:textId="77777777" w:rsidR="00895D17" w:rsidRDefault="00895D17" w:rsidP="00895D17">
      <w:pPr>
        <w:pStyle w:val="Heading2"/>
      </w:pPr>
      <w:bookmarkStart w:id="14" w:name="_Toc134183720"/>
      <w:r>
        <w:t>Analysis Tools</w:t>
      </w:r>
      <w:bookmarkEnd w:id="14"/>
    </w:p>
    <w:p w14:paraId="71D19D4C" w14:textId="77777777" w:rsidR="00895D17" w:rsidRDefault="00895D17" w:rsidP="00895D17">
      <w:r>
        <w:t xml:space="preserve">Emissions for CAT’s fleet were calculated using Argonne National Laboratory’s Alternative Fleet Life-Cycle Environmental and Economic Transportation (AFLEET) Tool 2020. The vehicle types in AFLEET Tool are based on EPA’s Motor Vehicle Emission Simulator (MOVES) as this allows the tool to estimate vehicle operation (e.g., tailpipe, </w:t>
      </w:r>
      <w:proofErr w:type="gramStart"/>
      <w:r>
        <w:t>brake</w:t>
      </w:r>
      <w:proofErr w:type="gramEnd"/>
      <w:r>
        <w:t xml:space="preserve"> and tire wear) emissions for various vehicle vocations (EPA 2020). The AFLEET tool provided estimates for CAT’s emissions for carbon, carbon monoxide, and other air pollutants (NO</w:t>
      </w:r>
      <w:r>
        <w:rPr>
          <w:vertAlign w:val="subscript"/>
        </w:rPr>
        <w:t>x</w:t>
      </w:r>
      <w:r>
        <w:t xml:space="preserve">, </w:t>
      </w:r>
      <w:proofErr w:type="spellStart"/>
      <w:r>
        <w:t>SO</w:t>
      </w:r>
      <w:r>
        <w:rPr>
          <w:vertAlign w:val="subscript"/>
        </w:rPr>
        <w:t>x</w:t>
      </w:r>
      <w:proofErr w:type="spellEnd"/>
      <w:r>
        <w:t>, VOC, PM</w:t>
      </w:r>
      <w:r>
        <w:rPr>
          <w:vertAlign w:val="subscript"/>
        </w:rPr>
        <w:t>2.5</w:t>
      </w:r>
      <w:r>
        <w:t>, and PM</w:t>
      </w:r>
      <w:r>
        <w:rPr>
          <w:vertAlign w:val="subscript"/>
        </w:rPr>
        <w:t>10</w:t>
      </w:r>
      <w:r>
        <w:t xml:space="preserve">). Note that carbon-based emissions are cumulatively referred to “Greenhouse Gases”, as they can take several molecular formats such as carbon dioxide or methane. </w:t>
      </w:r>
    </w:p>
    <w:p w14:paraId="118C4E78" w14:textId="77777777" w:rsidR="00895D17" w:rsidRDefault="00895D17" w:rsidP="00895D17">
      <w:r>
        <w:t xml:space="preserve">Note that the results presented in this analysis are based on vehicle fueling, fuel feedstock, and vehicle operations. Emissions presented in this analysis are independent of vehicle manufacture, component mining and sourcing, and end-of-life disposal of the vehicle. As such, the emissions described in this analysis pertain to </w:t>
      </w:r>
      <w:r>
        <w:rPr>
          <w:b/>
          <w:bCs/>
        </w:rPr>
        <w:t>Scope 1</w:t>
      </w:r>
      <w:r>
        <w:t xml:space="preserve"> and </w:t>
      </w:r>
      <w:r>
        <w:rPr>
          <w:b/>
          <w:bCs/>
        </w:rPr>
        <w:t>Scope 2</w:t>
      </w:r>
      <w:r>
        <w:t xml:space="preserve"> emissions based on the EPA GHG Protocol. While Scope 3 emissions (those indirectly associated with value chain) are important in determining environmental impact, the difficultly in accurately evaluating the value chain of the various vehicle components makes the evaluation infeasible and this analysis focuses on parameters directly controllable by CAT and the City of Charlottesville. </w:t>
      </w:r>
    </w:p>
    <w:p w14:paraId="4EAB0DC3" w14:textId="77777777" w:rsidR="00895D17" w:rsidRDefault="00895D17" w:rsidP="00895D17">
      <w:pPr>
        <w:pStyle w:val="Heading2"/>
      </w:pPr>
      <w:bookmarkStart w:id="15" w:name="_Toc134183721"/>
      <w:r>
        <w:t>Data Sources</w:t>
      </w:r>
      <w:bookmarkEnd w:id="15"/>
    </w:p>
    <w:p w14:paraId="133BC636" w14:textId="77777777" w:rsidR="00895D17" w:rsidRDefault="00895D17" w:rsidP="00895D17">
      <w:r>
        <w:t xml:space="preserve">Emissions were calculated for every calendar year starting in 2022 until 2050 with each yearly calculation accounting for a) Virginia’s changing electric grid composition and b) the changing vehicle propulsion type composition of CAT’s fleet. The electricity generation mix in 2022 is set based in information from the United States Energy Information Administration (EIA) North American Electric Reliability Corporation (NERC) estimates. Future-year estimates are described in the </w:t>
      </w:r>
      <w:r>
        <w:rPr>
          <w:b/>
          <w:bCs/>
        </w:rPr>
        <w:fldChar w:fldCharType="begin"/>
      </w:r>
      <w:r>
        <w:rPr>
          <w:b/>
          <w:bCs/>
        </w:rPr>
        <w:instrText xml:space="preserve"> REF _Ref133821397 \h  \* MERGEFORMAT </w:instrText>
      </w:r>
      <w:r>
        <w:rPr>
          <w:b/>
          <w:bCs/>
        </w:rPr>
      </w:r>
      <w:r>
        <w:rPr>
          <w:b/>
          <w:bCs/>
        </w:rPr>
        <w:fldChar w:fldCharType="end"/>
      </w:r>
      <w:r>
        <w:rPr>
          <w:b/>
          <w:bCs/>
        </w:rPr>
        <w:t xml:space="preserve"> </w:t>
      </w:r>
      <w:r>
        <w:t xml:space="preserve">section below. A year-by-year composition of Virginia’s electric grid used for the model can be seen in </w:t>
      </w:r>
      <w:r>
        <w:rPr>
          <w:b/>
          <w:bCs/>
        </w:rPr>
        <w:fldChar w:fldCharType="begin"/>
      </w:r>
      <w:r>
        <w:rPr>
          <w:b/>
          <w:bCs/>
        </w:rPr>
        <w:instrText xml:space="preserve"> REF _Ref133821025 \h  \* MERGEFORMAT </w:instrText>
      </w:r>
      <w:r>
        <w:rPr>
          <w:b/>
          <w:bCs/>
        </w:rPr>
      </w:r>
      <w:r>
        <w:rPr>
          <w:b/>
          <w:bCs/>
        </w:rPr>
        <w:fldChar w:fldCharType="separate"/>
      </w:r>
      <w:r>
        <w:rPr>
          <w:b/>
          <w:bCs/>
        </w:rPr>
        <w:t>Appendix A</w:t>
      </w:r>
      <w:r>
        <w:rPr>
          <w:b/>
          <w:bCs/>
        </w:rPr>
        <w:fldChar w:fldCharType="end"/>
      </w:r>
      <w:r>
        <w:t xml:space="preserve">.  </w:t>
      </w:r>
    </w:p>
    <w:p w14:paraId="772FCD52" w14:textId="77777777" w:rsidR="00895D17" w:rsidRDefault="00895D17" w:rsidP="00895D17">
      <w:r>
        <w:t xml:space="preserve">As of the publication of this study, the CAT Transit Strategic Plan (TSP) is planned for completion at the end of 2023; however, the CAT Optimization Plan provides the basis for the future composition of the CAT fleet. As such, the vehicle miles traveled (VMT) for the model was kept consistent across the different transition scenarios for every yearly calculation, and the VMT would increase evenly as CAT’s fleet expanded. CAT’s 2021 vehicle miles traveled (VMT) was input as the systems VMT and was divided evenly across every fleet vehicle for the base 36 bus fleet (approximately 20,300 miles per bus). As CAT’s fleet expanded, each new expansion bus increased the system’s VMT by approximately 20,300 miles, the VMT of one bus in the base 36 bus fleet, resulting in the maximum VMT of approximately 1,180,000 miles. See </w:t>
      </w:r>
      <w:r>
        <w:rPr>
          <w:b/>
          <w:bCs/>
        </w:rPr>
        <w:fldChar w:fldCharType="begin"/>
      </w:r>
      <w:r>
        <w:rPr>
          <w:b/>
          <w:bCs/>
        </w:rPr>
        <w:instrText xml:space="preserve"> REF _Ref134162262 \h  \* MERGEFORMAT </w:instrText>
      </w:r>
      <w:r>
        <w:rPr>
          <w:b/>
          <w:bCs/>
        </w:rPr>
      </w:r>
      <w:r>
        <w:rPr>
          <w:b/>
          <w:bCs/>
        </w:rPr>
        <w:fldChar w:fldCharType="separate"/>
      </w:r>
      <w:r>
        <w:rPr>
          <w:b/>
          <w:bCs/>
        </w:rPr>
        <w:t xml:space="preserve">Table </w:t>
      </w:r>
      <w:r>
        <w:rPr>
          <w:b/>
          <w:bCs/>
          <w:noProof/>
        </w:rPr>
        <w:t>2</w:t>
      </w:r>
      <w:r>
        <w:rPr>
          <w:b/>
          <w:bCs/>
        </w:rPr>
        <w:fldChar w:fldCharType="end"/>
      </w:r>
      <w:r>
        <w:t xml:space="preserve"> for a tabulation of VMT by vehicle per scenario. </w:t>
      </w:r>
    </w:p>
    <w:p w14:paraId="7FE4BC78" w14:textId="77777777" w:rsidR="00895D17" w:rsidRDefault="00895D17" w:rsidP="00895D17">
      <w:r>
        <w:t>The BEB transition scenario used the same final VMT and had the same year-by-year VMT as the other transition scenarios but had a different VMT per bus. The range limitations of BEBs will be explained in greater detail later in the document, but the BEB transition scenario had a vehicle replacement ratio of 1:1.62 instead of a 1:1 replacement ratio used by the other transition scenarios; this resulted in the BEB transition scenario having a final fleet size of 94 instead of 58. The full 94 BEB fleet had a VMT per bus of approximately 12,500 miles instead of 20,300. This method provides a comparison of emissions between technologies and by year but is not necessarily indicative of actual mass of forecasted emissions without more detailed modeling and route planning.</w:t>
      </w:r>
    </w:p>
    <w:p w14:paraId="051F4733" w14:textId="77777777" w:rsidR="00895D17" w:rsidRDefault="00895D17" w:rsidP="00895D17">
      <w:pPr>
        <w:pStyle w:val="Caption"/>
        <w:keepNext/>
        <w:jc w:val="center"/>
      </w:pPr>
      <w:bookmarkStart w:id="16" w:name="_Ref134162262"/>
      <w:bookmarkStart w:id="17" w:name="_Toc134183743"/>
      <w:r>
        <w:t xml:space="preserve">Table </w:t>
      </w:r>
      <w:r>
        <w:fldChar w:fldCharType="begin"/>
      </w:r>
      <w:r>
        <w:instrText xml:space="preserve"> SEQ Table \* ARABIC </w:instrText>
      </w:r>
      <w:r>
        <w:fldChar w:fldCharType="separate"/>
      </w:r>
      <w:r>
        <w:rPr>
          <w:noProof/>
        </w:rPr>
        <w:t>2</w:t>
      </w:r>
      <w:r>
        <w:fldChar w:fldCharType="end"/>
      </w:r>
      <w:bookmarkEnd w:id="16"/>
      <w:r>
        <w:t>: Estimation of Future VMT by Scenario</w:t>
      </w:r>
      <w:bookmarkEnd w:id="17"/>
    </w:p>
    <w:tbl>
      <w:tblPr>
        <w:tblStyle w:val="TableGrid"/>
        <w:tblW w:w="0" w:type="auto"/>
        <w:tblInd w:w="0" w:type="dxa"/>
        <w:tblLook w:val="04A0" w:firstRow="1" w:lastRow="0" w:firstColumn="1" w:lastColumn="0" w:noHBand="0" w:noVBand="1"/>
      </w:tblPr>
      <w:tblGrid>
        <w:gridCol w:w="2875"/>
        <w:gridCol w:w="2519"/>
        <w:gridCol w:w="2698"/>
        <w:gridCol w:w="2698"/>
      </w:tblGrid>
      <w:tr w:rsidR="00895D17" w14:paraId="7021FCFB" w14:textId="77777777" w:rsidTr="00895D17">
        <w:tc>
          <w:tcPr>
            <w:tcW w:w="2875" w:type="dxa"/>
            <w:tcBorders>
              <w:top w:val="single" w:sz="4" w:space="0" w:color="auto"/>
              <w:left w:val="single" w:sz="4" w:space="0" w:color="auto"/>
              <w:bottom w:val="single" w:sz="4" w:space="0" w:color="auto"/>
              <w:right w:val="single" w:sz="4" w:space="0" w:color="auto"/>
            </w:tcBorders>
            <w:shd w:val="clear" w:color="auto" w:fill="2C3C77" w:themeFill="accent1"/>
            <w:hideMark/>
          </w:tcPr>
          <w:p w14:paraId="1BFB2FE5" w14:textId="77777777" w:rsidR="00895D17" w:rsidRDefault="00895D17">
            <w:pPr>
              <w:jc w:val="center"/>
              <w:rPr>
                <w:b/>
                <w:bCs/>
                <w:color w:val="FFFFFF" w:themeColor="background1"/>
              </w:rPr>
            </w:pPr>
            <w:r>
              <w:rPr>
                <w:b/>
                <w:bCs/>
                <w:color w:val="FFFFFF" w:themeColor="background1"/>
              </w:rPr>
              <w:t>Year (scenario)</w:t>
            </w:r>
          </w:p>
        </w:tc>
        <w:tc>
          <w:tcPr>
            <w:tcW w:w="2519" w:type="dxa"/>
            <w:tcBorders>
              <w:top w:val="single" w:sz="4" w:space="0" w:color="auto"/>
              <w:left w:val="single" w:sz="4" w:space="0" w:color="auto"/>
              <w:bottom w:val="single" w:sz="4" w:space="0" w:color="auto"/>
              <w:right w:val="single" w:sz="4" w:space="0" w:color="auto"/>
            </w:tcBorders>
            <w:shd w:val="clear" w:color="auto" w:fill="2C3C77" w:themeFill="accent1"/>
            <w:hideMark/>
          </w:tcPr>
          <w:p w14:paraId="0E6918CB" w14:textId="77777777" w:rsidR="00895D17" w:rsidRDefault="00895D17">
            <w:pPr>
              <w:jc w:val="center"/>
              <w:rPr>
                <w:b/>
                <w:bCs/>
                <w:color w:val="FFFFFF" w:themeColor="background1"/>
              </w:rPr>
            </w:pPr>
            <w:r>
              <w:rPr>
                <w:b/>
                <w:bCs/>
                <w:color w:val="FFFFFF" w:themeColor="background1"/>
              </w:rPr>
              <w:t>Annual VMT</w:t>
            </w:r>
          </w:p>
        </w:tc>
        <w:tc>
          <w:tcPr>
            <w:tcW w:w="2698" w:type="dxa"/>
            <w:tcBorders>
              <w:top w:val="single" w:sz="4" w:space="0" w:color="auto"/>
              <w:left w:val="single" w:sz="4" w:space="0" w:color="auto"/>
              <w:bottom w:val="single" w:sz="4" w:space="0" w:color="auto"/>
              <w:right w:val="single" w:sz="4" w:space="0" w:color="auto"/>
            </w:tcBorders>
            <w:shd w:val="clear" w:color="auto" w:fill="2C3C77" w:themeFill="accent1"/>
            <w:hideMark/>
          </w:tcPr>
          <w:p w14:paraId="70E8EADA" w14:textId="77777777" w:rsidR="00895D17" w:rsidRDefault="00895D17">
            <w:pPr>
              <w:jc w:val="center"/>
              <w:rPr>
                <w:b/>
                <w:bCs/>
                <w:color w:val="FFFFFF" w:themeColor="background1"/>
              </w:rPr>
            </w:pPr>
            <w:r>
              <w:rPr>
                <w:b/>
                <w:bCs/>
                <w:color w:val="FFFFFF" w:themeColor="background1"/>
              </w:rPr>
              <w:t>Fleet Size</w:t>
            </w:r>
          </w:p>
        </w:tc>
        <w:tc>
          <w:tcPr>
            <w:tcW w:w="2698" w:type="dxa"/>
            <w:tcBorders>
              <w:top w:val="single" w:sz="4" w:space="0" w:color="auto"/>
              <w:left w:val="single" w:sz="4" w:space="0" w:color="auto"/>
              <w:bottom w:val="single" w:sz="4" w:space="0" w:color="auto"/>
              <w:right w:val="single" w:sz="4" w:space="0" w:color="auto"/>
            </w:tcBorders>
            <w:shd w:val="clear" w:color="auto" w:fill="2C3C77" w:themeFill="accent1"/>
            <w:hideMark/>
          </w:tcPr>
          <w:p w14:paraId="3286957F" w14:textId="77777777" w:rsidR="00895D17" w:rsidRDefault="00895D17">
            <w:pPr>
              <w:jc w:val="center"/>
              <w:rPr>
                <w:b/>
                <w:bCs/>
                <w:color w:val="FFFFFF" w:themeColor="background1"/>
              </w:rPr>
            </w:pPr>
            <w:r>
              <w:rPr>
                <w:b/>
                <w:bCs/>
                <w:color w:val="FFFFFF" w:themeColor="background1"/>
              </w:rPr>
              <w:t>VMT per Vehicle</w:t>
            </w:r>
          </w:p>
        </w:tc>
      </w:tr>
      <w:tr w:rsidR="00895D17" w14:paraId="0D980658" w14:textId="77777777" w:rsidTr="00895D17">
        <w:tc>
          <w:tcPr>
            <w:tcW w:w="2875" w:type="dxa"/>
            <w:tcBorders>
              <w:top w:val="single" w:sz="4" w:space="0" w:color="auto"/>
              <w:left w:val="single" w:sz="4" w:space="0" w:color="auto"/>
              <w:bottom w:val="single" w:sz="4" w:space="0" w:color="auto"/>
              <w:right w:val="single" w:sz="4" w:space="0" w:color="auto"/>
            </w:tcBorders>
            <w:hideMark/>
          </w:tcPr>
          <w:p w14:paraId="62F30CD6" w14:textId="77777777" w:rsidR="00895D17" w:rsidRDefault="00895D17">
            <w:r>
              <w:t>2021 (base)</w:t>
            </w:r>
          </w:p>
        </w:tc>
        <w:tc>
          <w:tcPr>
            <w:tcW w:w="2519" w:type="dxa"/>
            <w:tcBorders>
              <w:top w:val="single" w:sz="4" w:space="0" w:color="auto"/>
              <w:left w:val="single" w:sz="4" w:space="0" w:color="auto"/>
              <w:bottom w:val="single" w:sz="4" w:space="0" w:color="auto"/>
              <w:right w:val="single" w:sz="4" w:space="0" w:color="auto"/>
            </w:tcBorders>
            <w:hideMark/>
          </w:tcPr>
          <w:p w14:paraId="21405E10" w14:textId="77777777" w:rsidR="00895D17" w:rsidRDefault="00895D17">
            <w:pPr>
              <w:jc w:val="center"/>
            </w:pPr>
            <w:r>
              <w:t>730,629</w:t>
            </w:r>
          </w:p>
        </w:tc>
        <w:tc>
          <w:tcPr>
            <w:tcW w:w="2698" w:type="dxa"/>
            <w:tcBorders>
              <w:top w:val="single" w:sz="4" w:space="0" w:color="auto"/>
              <w:left w:val="single" w:sz="4" w:space="0" w:color="auto"/>
              <w:bottom w:val="single" w:sz="4" w:space="0" w:color="auto"/>
              <w:right w:val="single" w:sz="4" w:space="0" w:color="auto"/>
            </w:tcBorders>
            <w:hideMark/>
          </w:tcPr>
          <w:p w14:paraId="3D654A01" w14:textId="77777777" w:rsidR="00895D17" w:rsidRDefault="00895D17">
            <w:pPr>
              <w:jc w:val="center"/>
            </w:pPr>
            <w:r>
              <w:t>36</w:t>
            </w:r>
          </w:p>
        </w:tc>
        <w:tc>
          <w:tcPr>
            <w:tcW w:w="2698" w:type="dxa"/>
            <w:tcBorders>
              <w:top w:val="single" w:sz="4" w:space="0" w:color="auto"/>
              <w:left w:val="single" w:sz="4" w:space="0" w:color="auto"/>
              <w:bottom w:val="single" w:sz="4" w:space="0" w:color="auto"/>
              <w:right w:val="single" w:sz="4" w:space="0" w:color="auto"/>
            </w:tcBorders>
            <w:hideMark/>
          </w:tcPr>
          <w:p w14:paraId="71D4D90F" w14:textId="77777777" w:rsidR="00895D17" w:rsidRDefault="00895D17">
            <w:pPr>
              <w:jc w:val="center"/>
            </w:pPr>
            <w:r>
              <w:t>20,295</w:t>
            </w:r>
          </w:p>
        </w:tc>
      </w:tr>
      <w:tr w:rsidR="00895D17" w14:paraId="0E87CC7C" w14:textId="77777777" w:rsidTr="00895D17">
        <w:tc>
          <w:tcPr>
            <w:tcW w:w="2875" w:type="dxa"/>
            <w:tcBorders>
              <w:top w:val="single" w:sz="4" w:space="0" w:color="auto"/>
              <w:left w:val="single" w:sz="4" w:space="0" w:color="auto"/>
              <w:bottom w:val="single" w:sz="4" w:space="0" w:color="auto"/>
              <w:right w:val="single" w:sz="4" w:space="0" w:color="auto"/>
            </w:tcBorders>
            <w:hideMark/>
          </w:tcPr>
          <w:p w14:paraId="1C38150B" w14:textId="77777777" w:rsidR="00895D17" w:rsidRDefault="00895D17">
            <w:r>
              <w:t>2050 (1:1 replacement)</w:t>
            </w:r>
          </w:p>
        </w:tc>
        <w:tc>
          <w:tcPr>
            <w:tcW w:w="2519" w:type="dxa"/>
            <w:tcBorders>
              <w:top w:val="single" w:sz="4" w:space="0" w:color="auto"/>
              <w:left w:val="single" w:sz="4" w:space="0" w:color="auto"/>
              <w:bottom w:val="single" w:sz="4" w:space="0" w:color="auto"/>
              <w:right w:val="single" w:sz="4" w:space="0" w:color="auto"/>
            </w:tcBorders>
            <w:hideMark/>
          </w:tcPr>
          <w:p w14:paraId="2E8C0DE1" w14:textId="77777777" w:rsidR="00895D17" w:rsidRDefault="00895D17">
            <w:pPr>
              <w:jc w:val="center"/>
            </w:pPr>
            <w:r>
              <w:t>1,177,125</w:t>
            </w:r>
          </w:p>
        </w:tc>
        <w:tc>
          <w:tcPr>
            <w:tcW w:w="2698" w:type="dxa"/>
            <w:tcBorders>
              <w:top w:val="single" w:sz="4" w:space="0" w:color="auto"/>
              <w:left w:val="single" w:sz="4" w:space="0" w:color="auto"/>
              <w:bottom w:val="single" w:sz="4" w:space="0" w:color="auto"/>
              <w:right w:val="single" w:sz="4" w:space="0" w:color="auto"/>
            </w:tcBorders>
            <w:hideMark/>
          </w:tcPr>
          <w:p w14:paraId="4DFD4422" w14:textId="77777777" w:rsidR="00895D17" w:rsidRDefault="00895D17">
            <w:pPr>
              <w:jc w:val="center"/>
            </w:pPr>
            <w:r>
              <w:t>58</w:t>
            </w:r>
          </w:p>
        </w:tc>
        <w:tc>
          <w:tcPr>
            <w:tcW w:w="2698" w:type="dxa"/>
            <w:tcBorders>
              <w:top w:val="single" w:sz="4" w:space="0" w:color="auto"/>
              <w:left w:val="single" w:sz="4" w:space="0" w:color="auto"/>
              <w:bottom w:val="single" w:sz="4" w:space="0" w:color="auto"/>
              <w:right w:val="single" w:sz="4" w:space="0" w:color="auto"/>
            </w:tcBorders>
            <w:hideMark/>
          </w:tcPr>
          <w:p w14:paraId="082BAC90" w14:textId="77777777" w:rsidR="00895D17" w:rsidRDefault="00895D17">
            <w:pPr>
              <w:jc w:val="center"/>
            </w:pPr>
            <w:r>
              <w:t>20,295</w:t>
            </w:r>
          </w:p>
        </w:tc>
      </w:tr>
      <w:tr w:rsidR="00895D17" w14:paraId="3076E029" w14:textId="77777777" w:rsidTr="00895D17">
        <w:tc>
          <w:tcPr>
            <w:tcW w:w="2875" w:type="dxa"/>
            <w:tcBorders>
              <w:top w:val="single" w:sz="4" w:space="0" w:color="auto"/>
              <w:left w:val="single" w:sz="4" w:space="0" w:color="auto"/>
              <w:bottom w:val="single" w:sz="4" w:space="0" w:color="auto"/>
              <w:right w:val="single" w:sz="4" w:space="0" w:color="auto"/>
            </w:tcBorders>
            <w:hideMark/>
          </w:tcPr>
          <w:p w14:paraId="0ABC5F0E" w14:textId="77777777" w:rsidR="00895D17" w:rsidRDefault="00895D17">
            <w:r>
              <w:t>2050 (1:1.62 replacement)</w:t>
            </w:r>
          </w:p>
        </w:tc>
        <w:tc>
          <w:tcPr>
            <w:tcW w:w="2519" w:type="dxa"/>
            <w:tcBorders>
              <w:top w:val="single" w:sz="4" w:space="0" w:color="auto"/>
              <w:left w:val="single" w:sz="4" w:space="0" w:color="auto"/>
              <w:bottom w:val="single" w:sz="4" w:space="0" w:color="auto"/>
              <w:right w:val="single" w:sz="4" w:space="0" w:color="auto"/>
            </w:tcBorders>
            <w:hideMark/>
          </w:tcPr>
          <w:p w14:paraId="779763CA" w14:textId="77777777" w:rsidR="00895D17" w:rsidRDefault="00895D17">
            <w:pPr>
              <w:jc w:val="center"/>
            </w:pPr>
            <w:r>
              <w:t>1,177,125</w:t>
            </w:r>
          </w:p>
        </w:tc>
        <w:tc>
          <w:tcPr>
            <w:tcW w:w="2698" w:type="dxa"/>
            <w:tcBorders>
              <w:top w:val="single" w:sz="4" w:space="0" w:color="auto"/>
              <w:left w:val="single" w:sz="4" w:space="0" w:color="auto"/>
              <w:bottom w:val="single" w:sz="4" w:space="0" w:color="auto"/>
              <w:right w:val="single" w:sz="4" w:space="0" w:color="auto"/>
            </w:tcBorders>
            <w:hideMark/>
          </w:tcPr>
          <w:p w14:paraId="05DC3612" w14:textId="77777777" w:rsidR="00895D17" w:rsidRDefault="00895D17">
            <w:pPr>
              <w:jc w:val="center"/>
            </w:pPr>
            <w:r>
              <w:t>94</w:t>
            </w:r>
          </w:p>
        </w:tc>
        <w:tc>
          <w:tcPr>
            <w:tcW w:w="2698" w:type="dxa"/>
            <w:tcBorders>
              <w:top w:val="single" w:sz="4" w:space="0" w:color="auto"/>
              <w:left w:val="single" w:sz="4" w:space="0" w:color="auto"/>
              <w:bottom w:val="single" w:sz="4" w:space="0" w:color="auto"/>
              <w:right w:val="single" w:sz="4" w:space="0" w:color="auto"/>
            </w:tcBorders>
            <w:hideMark/>
          </w:tcPr>
          <w:p w14:paraId="6C13036A" w14:textId="77777777" w:rsidR="00895D17" w:rsidRDefault="00895D17">
            <w:pPr>
              <w:jc w:val="center"/>
            </w:pPr>
            <w:r>
              <w:t>12,523</w:t>
            </w:r>
          </w:p>
        </w:tc>
      </w:tr>
    </w:tbl>
    <w:p w14:paraId="5B82590A" w14:textId="77777777" w:rsidR="00895D17" w:rsidRDefault="00895D17" w:rsidP="00895D17"/>
    <w:p w14:paraId="329EADCC" w14:textId="77777777" w:rsidR="00895D17" w:rsidRDefault="00895D17" w:rsidP="00895D17">
      <w:pPr>
        <w:pStyle w:val="Heading2"/>
      </w:pPr>
      <w:bookmarkStart w:id="18" w:name="_Toc134183722"/>
      <w:r>
        <w:t>Scenario Development</w:t>
      </w:r>
      <w:bookmarkEnd w:id="18"/>
      <w:r>
        <w:t xml:space="preserve"> </w:t>
      </w:r>
    </w:p>
    <w:p w14:paraId="0C7E4ACC" w14:textId="4806345F" w:rsidR="00895D17" w:rsidRDefault="00895D17" w:rsidP="00895D17">
      <w:r>
        <w:t xml:space="preserve">CAT’s fleet transition and expansion was based on current fleet information and the CAT Optimization Plan. Unless specified by the transit agency, all full-sized transit buses (29’ or 35’) were modeled to have a 12-year service life and the BOC were modeled to have a five-year service life regardless of fuel type; the 12 year and five-year numbers were based off the guidelines for a full-sized transit bus in the FTA’s Useful Life Benchmark. Milestones in the CAT fleet’s transition and expansion are shown in </w:t>
      </w:r>
      <w:r>
        <w:rPr>
          <w:b/>
          <w:bCs/>
        </w:rPr>
        <w:fldChar w:fldCharType="begin"/>
      </w:r>
      <w:r>
        <w:rPr>
          <w:b/>
          <w:bCs/>
        </w:rPr>
        <w:instrText xml:space="preserve"> REF _Ref134162309 \h  \* MERGEFORMAT </w:instrText>
      </w:r>
      <w:r>
        <w:rPr>
          <w:b/>
          <w:bCs/>
        </w:rPr>
      </w:r>
      <w:r>
        <w:rPr>
          <w:b/>
          <w:bCs/>
        </w:rPr>
        <w:fldChar w:fldCharType="separate"/>
      </w:r>
      <w:r>
        <w:rPr>
          <w:b/>
          <w:bCs/>
        </w:rPr>
        <w:t xml:space="preserve">Table </w:t>
      </w:r>
      <w:r>
        <w:rPr>
          <w:b/>
          <w:bCs/>
          <w:noProof/>
        </w:rPr>
        <w:t>3</w:t>
      </w:r>
      <w:r>
        <w:rPr>
          <w:b/>
          <w:bCs/>
        </w:rPr>
        <w:fldChar w:fldCharType="end"/>
      </w:r>
      <w:r>
        <w:t>.</w:t>
      </w:r>
    </w:p>
    <w:p w14:paraId="640825DC" w14:textId="77777777" w:rsidR="00895D17" w:rsidRDefault="00895D17" w:rsidP="00895D17">
      <w:pPr>
        <w:rPr>
          <w:rStyle w:val="Emphasis"/>
          <w:b w:val="0"/>
        </w:rPr>
      </w:pPr>
      <w:r>
        <w:rPr>
          <w:b/>
          <w:i/>
          <w:iCs/>
        </w:rPr>
        <w:br w:type="page"/>
      </w:r>
    </w:p>
    <w:p w14:paraId="27A15A24" w14:textId="77777777" w:rsidR="00895D17" w:rsidRDefault="00895D17" w:rsidP="00895D17">
      <w:pPr>
        <w:pStyle w:val="Caption"/>
        <w:keepNext/>
        <w:jc w:val="center"/>
      </w:pPr>
      <w:bookmarkStart w:id="19" w:name="_Ref134162309"/>
      <w:bookmarkStart w:id="20" w:name="_Toc134183744"/>
      <w:r>
        <w:t xml:space="preserve">Table </w:t>
      </w:r>
      <w:r>
        <w:fldChar w:fldCharType="begin"/>
      </w:r>
      <w:r>
        <w:instrText xml:space="preserve"> SEQ Table \* ARABIC </w:instrText>
      </w:r>
      <w:r>
        <w:fldChar w:fldCharType="separate"/>
      </w:r>
      <w:r>
        <w:rPr>
          <w:noProof/>
        </w:rPr>
        <w:t>3</w:t>
      </w:r>
      <w:r>
        <w:fldChar w:fldCharType="end"/>
      </w:r>
      <w:bookmarkEnd w:id="19"/>
      <w:r>
        <w:t>: Planned CAT Fleet Expansion FY22-FY28</w:t>
      </w:r>
      <w:bookmarkEnd w:id="20"/>
    </w:p>
    <w:tbl>
      <w:tblPr>
        <w:tblStyle w:val="TableGrid"/>
        <w:tblW w:w="0" w:type="auto"/>
        <w:tblInd w:w="0" w:type="dxa"/>
        <w:tblLook w:val="04A0" w:firstRow="1" w:lastRow="0" w:firstColumn="1" w:lastColumn="0" w:noHBand="0" w:noVBand="1"/>
      </w:tblPr>
      <w:tblGrid>
        <w:gridCol w:w="3325"/>
        <w:gridCol w:w="2069"/>
        <w:gridCol w:w="2161"/>
        <w:gridCol w:w="3235"/>
      </w:tblGrid>
      <w:tr w:rsidR="00895D17" w14:paraId="091FEC3C" w14:textId="77777777" w:rsidTr="00895D17">
        <w:tc>
          <w:tcPr>
            <w:tcW w:w="3325" w:type="dxa"/>
            <w:tcBorders>
              <w:top w:val="single" w:sz="4" w:space="0" w:color="auto"/>
              <w:left w:val="single" w:sz="4" w:space="0" w:color="auto"/>
              <w:bottom w:val="single" w:sz="12" w:space="0" w:color="auto"/>
              <w:right w:val="single" w:sz="4" w:space="0" w:color="auto"/>
            </w:tcBorders>
            <w:shd w:val="clear" w:color="auto" w:fill="2C3C77" w:themeFill="accent1"/>
            <w:vAlign w:val="center"/>
            <w:hideMark/>
          </w:tcPr>
          <w:p w14:paraId="740BDC29" w14:textId="77777777" w:rsidR="00895D17" w:rsidRDefault="00895D17">
            <w:pPr>
              <w:jc w:val="center"/>
              <w:rPr>
                <w:b/>
                <w:bCs/>
                <w:color w:val="FFFFFF" w:themeColor="background1"/>
              </w:rPr>
            </w:pPr>
            <w:bookmarkStart w:id="21" w:name="OLE_LINK2"/>
            <w:r>
              <w:rPr>
                <w:b/>
                <w:bCs/>
                <w:color w:val="FFFFFF" w:themeColor="background1"/>
              </w:rPr>
              <w:t>Fiscal Year</w:t>
            </w:r>
          </w:p>
        </w:tc>
        <w:tc>
          <w:tcPr>
            <w:tcW w:w="2069" w:type="dxa"/>
            <w:tcBorders>
              <w:top w:val="single" w:sz="4" w:space="0" w:color="auto"/>
              <w:left w:val="single" w:sz="4" w:space="0" w:color="auto"/>
              <w:bottom w:val="single" w:sz="12" w:space="0" w:color="auto"/>
              <w:right w:val="single" w:sz="4" w:space="0" w:color="auto"/>
            </w:tcBorders>
            <w:shd w:val="clear" w:color="auto" w:fill="2C3C77" w:themeFill="accent1"/>
            <w:vAlign w:val="center"/>
            <w:hideMark/>
          </w:tcPr>
          <w:p w14:paraId="0609FCDF" w14:textId="77777777" w:rsidR="00895D17" w:rsidRDefault="00895D17">
            <w:pPr>
              <w:jc w:val="center"/>
              <w:rPr>
                <w:b/>
                <w:bCs/>
                <w:color w:val="FFFFFF" w:themeColor="background1"/>
              </w:rPr>
            </w:pPr>
            <w:r>
              <w:rPr>
                <w:b/>
                <w:bCs/>
                <w:color w:val="FFFFFF" w:themeColor="background1"/>
              </w:rPr>
              <w:t>Bus Type</w:t>
            </w:r>
          </w:p>
        </w:tc>
        <w:tc>
          <w:tcPr>
            <w:tcW w:w="2161" w:type="dxa"/>
            <w:tcBorders>
              <w:top w:val="single" w:sz="4" w:space="0" w:color="auto"/>
              <w:left w:val="single" w:sz="4" w:space="0" w:color="auto"/>
              <w:bottom w:val="single" w:sz="12" w:space="0" w:color="auto"/>
              <w:right w:val="single" w:sz="4" w:space="0" w:color="auto"/>
            </w:tcBorders>
            <w:shd w:val="clear" w:color="auto" w:fill="2C3C77" w:themeFill="accent1"/>
            <w:vAlign w:val="center"/>
            <w:hideMark/>
          </w:tcPr>
          <w:p w14:paraId="4836A0BF" w14:textId="77777777" w:rsidR="00895D17" w:rsidRDefault="00895D17">
            <w:pPr>
              <w:jc w:val="center"/>
              <w:rPr>
                <w:b/>
                <w:bCs/>
                <w:color w:val="FFFFFF" w:themeColor="background1"/>
              </w:rPr>
            </w:pPr>
            <w:r>
              <w:rPr>
                <w:b/>
                <w:bCs/>
                <w:color w:val="FFFFFF" w:themeColor="background1"/>
              </w:rPr>
              <w:t>Number of Buses</w:t>
            </w:r>
          </w:p>
        </w:tc>
        <w:tc>
          <w:tcPr>
            <w:tcW w:w="3235" w:type="dxa"/>
            <w:tcBorders>
              <w:top w:val="single" w:sz="4" w:space="0" w:color="auto"/>
              <w:left w:val="single" w:sz="4" w:space="0" w:color="auto"/>
              <w:bottom w:val="single" w:sz="12" w:space="0" w:color="auto"/>
              <w:right w:val="single" w:sz="4" w:space="0" w:color="auto"/>
            </w:tcBorders>
            <w:shd w:val="clear" w:color="auto" w:fill="2C3C77" w:themeFill="accent1"/>
            <w:vAlign w:val="center"/>
            <w:hideMark/>
          </w:tcPr>
          <w:p w14:paraId="72C19FE4" w14:textId="77777777" w:rsidR="00895D17" w:rsidRDefault="00895D17">
            <w:pPr>
              <w:jc w:val="center"/>
              <w:rPr>
                <w:b/>
                <w:bCs/>
                <w:color w:val="FFFFFF" w:themeColor="background1"/>
              </w:rPr>
            </w:pPr>
            <w:r>
              <w:rPr>
                <w:b/>
                <w:bCs/>
                <w:color w:val="FFFFFF" w:themeColor="background1"/>
              </w:rPr>
              <w:t>Replacement or Expansion</w:t>
            </w:r>
          </w:p>
        </w:tc>
      </w:tr>
      <w:tr w:rsidR="00895D17" w14:paraId="5136A3E5" w14:textId="77777777" w:rsidTr="00895D17">
        <w:tc>
          <w:tcPr>
            <w:tcW w:w="3325" w:type="dxa"/>
            <w:vMerge w:val="restart"/>
            <w:tcBorders>
              <w:top w:val="single" w:sz="12" w:space="0" w:color="auto"/>
              <w:left w:val="single" w:sz="4" w:space="0" w:color="auto"/>
              <w:bottom w:val="single" w:sz="12" w:space="0" w:color="auto"/>
              <w:right w:val="single" w:sz="4" w:space="0" w:color="auto"/>
            </w:tcBorders>
            <w:vAlign w:val="center"/>
            <w:hideMark/>
          </w:tcPr>
          <w:p w14:paraId="28B67DC2" w14:textId="77777777" w:rsidR="00895D17" w:rsidRDefault="00895D17">
            <w:r>
              <w:t>FY22 (Awaiting Delivery)</w:t>
            </w:r>
          </w:p>
        </w:tc>
        <w:tc>
          <w:tcPr>
            <w:tcW w:w="2069" w:type="dxa"/>
            <w:tcBorders>
              <w:top w:val="single" w:sz="12" w:space="0" w:color="auto"/>
              <w:left w:val="single" w:sz="4" w:space="0" w:color="auto"/>
              <w:bottom w:val="single" w:sz="4" w:space="0" w:color="auto"/>
              <w:right w:val="single" w:sz="4" w:space="0" w:color="auto"/>
            </w:tcBorders>
            <w:vAlign w:val="center"/>
            <w:hideMark/>
          </w:tcPr>
          <w:p w14:paraId="7C034BA6" w14:textId="77777777" w:rsidR="00895D17" w:rsidRDefault="00895D17">
            <w:pPr>
              <w:jc w:val="center"/>
            </w:pPr>
            <w:r>
              <w:t>26’ BOC</w:t>
            </w:r>
          </w:p>
        </w:tc>
        <w:tc>
          <w:tcPr>
            <w:tcW w:w="2161" w:type="dxa"/>
            <w:tcBorders>
              <w:top w:val="single" w:sz="12" w:space="0" w:color="auto"/>
              <w:left w:val="single" w:sz="4" w:space="0" w:color="auto"/>
              <w:bottom w:val="single" w:sz="4" w:space="0" w:color="auto"/>
              <w:right w:val="single" w:sz="4" w:space="0" w:color="auto"/>
            </w:tcBorders>
            <w:vAlign w:val="center"/>
            <w:hideMark/>
          </w:tcPr>
          <w:p w14:paraId="257A06C8" w14:textId="77777777" w:rsidR="00895D17" w:rsidRDefault="00895D17">
            <w:pPr>
              <w:jc w:val="center"/>
            </w:pPr>
            <w:r>
              <w:t>1</w:t>
            </w:r>
          </w:p>
        </w:tc>
        <w:tc>
          <w:tcPr>
            <w:tcW w:w="3235" w:type="dxa"/>
            <w:tcBorders>
              <w:top w:val="single" w:sz="12" w:space="0" w:color="auto"/>
              <w:left w:val="single" w:sz="4" w:space="0" w:color="auto"/>
              <w:bottom w:val="single" w:sz="4" w:space="0" w:color="auto"/>
              <w:right w:val="single" w:sz="4" w:space="0" w:color="auto"/>
            </w:tcBorders>
            <w:vAlign w:val="center"/>
            <w:hideMark/>
          </w:tcPr>
          <w:p w14:paraId="5562FAA6" w14:textId="77777777" w:rsidR="00895D17" w:rsidRDefault="00895D17">
            <w:pPr>
              <w:jc w:val="center"/>
            </w:pPr>
            <w:r>
              <w:t>Replacement</w:t>
            </w:r>
          </w:p>
        </w:tc>
      </w:tr>
      <w:tr w:rsidR="00895D17" w14:paraId="688DB899"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383A701E"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34EC0644" w14:textId="77777777" w:rsidR="00895D17" w:rsidRDefault="00895D17">
            <w:pPr>
              <w:jc w:val="center"/>
            </w:pPr>
            <w:r>
              <w:t>35’ Diesel</w:t>
            </w:r>
          </w:p>
        </w:tc>
        <w:tc>
          <w:tcPr>
            <w:tcW w:w="2161" w:type="dxa"/>
            <w:tcBorders>
              <w:top w:val="single" w:sz="4" w:space="0" w:color="auto"/>
              <w:left w:val="single" w:sz="4" w:space="0" w:color="auto"/>
              <w:bottom w:val="single" w:sz="4" w:space="0" w:color="auto"/>
              <w:right w:val="single" w:sz="4" w:space="0" w:color="auto"/>
            </w:tcBorders>
            <w:vAlign w:val="center"/>
            <w:hideMark/>
          </w:tcPr>
          <w:p w14:paraId="5DB93099" w14:textId="77777777" w:rsidR="00895D17" w:rsidRDefault="00895D17">
            <w:pPr>
              <w:jc w:val="center"/>
            </w:pPr>
            <w:r>
              <w:t>3</w:t>
            </w:r>
          </w:p>
        </w:tc>
        <w:tc>
          <w:tcPr>
            <w:tcW w:w="3235" w:type="dxa"/>
            <w:tcBorders>
              <w:top w:val="single" w:sz="4" w:space="0" w:color="auto"/>
              <w:left w:val="single" w:sz="4" w:space="0" w:color="auto"/>
              <w:bottom w:val="single" w:sz="4" w:space="0" w:color="auto"/>
              <w:right w:val="single" w:sz="4" w:space="0" w:color="auto"/>
            </w:tcBorders>
            <w:vAlign w:val="center"/>
            <w:hideMark/>
          </w:tcPr>
          <w:p w14:paraId="248A4BE1" w14:textId="77777777" w:rsidR="00895D17" w:rsidRDefault="00895D17">
            <w:pPr>
              <w:jc w:val="center"/>
            </w:pPr>
            <w:r>
              <w:t>Replacement</w:t>
            </w:r>
          </w:p>
        </w:tc>
      </w:tr>
      <w:tr w:rsidR="00895D17" w14:paraId="26971BF6"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1FEFB8D3"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4A923810" w14:textId="77777777" w:rsidR="00895D17" w:rsidRDefault="00895D17">
            <w:pPr>
              <w:jc w:val="center"/>
            </w:pPr>
            <w:r>
              <w:t>29’ Diesel</w:t>
            </w:r>
          </w:p>
        </w:tc>
        <w:tc>
          <w:tcPr>
            <w:tcW w:w="2161" w:type="dxa"/>
            <w:tcBorders>
              <w:top w:val="single" w:sz="4" w:space="0" w:color="auto"/>
              <w:left w:val="single" w:sz="4" w:space="0" w:color="auto"/>
              <w:bottom w:val="single" w:sz="4" w:space="0" w:color="auto"/>
              <w:right w:val="single" w:sz="4" w:space="0" w:color="auto"/>
            </w:tcBorders>
            <w:vAlign w:val="center"/>
            <w:hideMark/>
          </w:tcPr>
          <w:p w14:paraId="667DAD9A" w14:textId="77777777" w:rsidR="00895D17" w:rsidRDefault="00895D17">
            <w:pPr>
              <w:jc w:val="center"/>
            </w:pPr>
            <w:r>
              <w:t>1</w:t>
            </w:r>
          </w:p>
        </w:tc>
        <w:tc>
          <w:tcPr>
            <w:tcW w:w="3235" w:type="dxa"/>
            <w:tcBorders>
              <w:top w:val="single" w:sz="4" w:space="0" w:color="auto"/>
              <w:left w:val="single" w:sz="4" w:space="0" w:color="auto"/>
              <w:bottom w:val="single" w:sz="4" w:space="0" w:color="auto"/>
              <w:right w:val="single" w:sz="4" w:space="0" w:color="auto"/>
            </w:tcBorders>
            <w:vAlign w:val="center"/>
            <w:hideMark/>
          </w:tcPr>
          <w:p w14:paraId="7E79ED72" w14:textId="77777777" w:rsidR="00895D17" w:rsidRDefault="00895D17">
            <w:pPr>
              <w:jc w:val="center"/>
            </w:pPr>
            <w:r>
              <w:t>Replacement</w:t>
            </w:r>
          </w:p>
        </w:tc>
      </w:tr>
      <w:tr w:rsidR="00895D17" w14:paraId="0CBCC051"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0E18756D"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5B5D8DE5" w14:textId="77777777" w:rsidR="00895D17" w:rsidRDefault="00895D17">
            <w:pPr>
              <w:jc w:val="center"/>
            </w:pPr>
            <w:r>
              <w:t>35’ Diesel</w:t>
            </w:r>
          </w:p>
        </w:tc>
        <w:tc>
          <w:tcPr>
            <w:tcW w:w="2161" w:type="dxa"/>
            <w:tcBorders>
              <w:top w:val="single" w:sz="4" w:space="0" w:color="auto"/>
              <w:left w:val="single" w:sz="4" w:space="0" w:color="auto"/>
              <w:bottom w:val="single" w:sz="4" w:space="0" w:color="auto"/>
              <w:right w:val="single" w:sz="4" w:space="0" w:color="auto"/>
            </w:tcBorders>
            <w:vAlign w:val="center"/>
            <w:hideMark/>
          </w:tcPr>
          <w:p w14:paraId="2F1965FB" w14:textId="77777777" w:rsidR="00895D17" w:rsidRDefault="00895D17">
            <w:pPr>
              <w:jc w:val="center"/>
            </w:pPr>
            <w:r>
              <w:t>2</w:t>
            </w:r>
          </w:p>
        </w:tc>
        <w:tc>
          <w:tcPr>
            <w:tcW w:w="3235" w:type="dxa"/>
            <w:tcBorders>
              <w:top w:val="single" w:sz="4" w:space="0" w:color="auto"/>
              <w:left w:val="single" w:sz="4" w:space="0" w:color="auto"/>
              <w:bottom w:val="single" w:sz="4" w:space="0" w:color="auto"/>
              <w:right w:val="single" w:sz="4" w:space="0" w:color="auto"/>
            </w:tcBorders>
            <w:vAlign w:val="center"/>
            <w:hideMark/>
          </w:tcPr>
          <w:p w14:paraId="7C6A1536" w14:textId="77777777" w:rsidR="00895D17" w:rsidRDefault="00895D17">
            <w:pPr>
              <w:jc w:val="center"/>
            </w:pPr>
            <w:r>
              <w:t>Expansion</w:t>
            </w:r>
          </w:p>
        </w:tc>
      </w:tr>
      <w:tr w:rsidR="00895D17" w14:paraId="7F1C416E"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402A951B" w14:textId="77777777" w:rsidR="00895D17" w:rsidRDefault="00895D17"/>
        </w:tc>
        <w:tc>
          <w:tcPr>
            <w:tcW w:w="2069" w:type="dxa"/>
            <w:tcBorders>
              <w:top w:val="single" w:sz="4" w:space="0" w:color="auto"/>
              <w:left w:val="single" w:sz="4" w:space="0" w:color="auto"/>
              <w:bottom w:val="single" w:sz="12" w:space="0" w:color="auto"/>
              <w:right w:val="single" w:sz="4" w:space="0" w:color="auto"/>
            </w:tcBorders>
            <w:vAlign w:val="center"/>
            <w:hideMark/>
          </w:tcPr>
          <w:p w14:paraId="3CA6F0B2" w14:textId="77777777" w:rsidR="00895D17" w:rsidRDefault="00895D17">
            <w:pPr>
              <w:jc w:val="center"/>
            </w:pPr>
            <w:r>
              <w:t>26’ BOC</w:t>
            </w:r>
          </w:p>
        </w:tc>
        <w:tc>
          <w:tcPr>
            <w:tcW w:w="2161" w:type="dxa"/>
            <w:tcBorders>
              <w:top w:val="single" w:sz="4" w:space="0" w:color="auto"/>
              <w:left w:val="single" w:sz="4" w:space="0" w:color="auto"/>
              <w:bottom w:val="single" w:sz="12" w:space="0" w:color="auto"/>
              <w:right w:val="single" w:sz="4" w:space="0" w:color="auto"/>
            </w:tcBorders>
            <w:vAlign w:val="center"/>
            <w:hideMark/>
          </w:tcPr>
          <w:p w14:paraId="6B6CA5DE" w14:textId="77777777" w:rsidR="00895D17" w:rsidRDefault="00895D17">
            <w:pPr>
              <w:jc w:val="center"/>
            </w:pPr>
            <w:r>
              <w:t>4</w:t>
            </w:r>
          </w:p>
        </w:tc>
        <w:tc>
          <w:tcPr>
            <w:tcW w:w="3235" w:type="dxa"/>
            <w:tcBorders>
              <w:top w:val="single" w:sz="4" w:space="0" w:color="auto"/>
              <w:left w:val="single" w:sz="4" w:space="0" w:color="auto"/>
              <w:bottom w:val="single" w:sz="12" w:space="0" w:color="auto"/>
              <w:right w:val="single" w:sz="4" w:space="0" w:color="auto"/>
            </w:tcBorders>
            <w:vAlign w:val="center"/>
            <w:hideMark/>
          </w:tcPr>
          <w:p w14:paraId="4224213F" w14:textId="77777777" w:rsidR="00895D17" w:rsidRDefault="00895D17">
            <w:pPr>
              <w:jc w:val="center"/>
            </w:pPr>
            <w:r>
              <w:t>Expansion</w:t>
            </w:r>
          </w:p>
        </w:tc>
      </w:tr>
      <w:tr w:rsidR="00895D17" w14:paraId="7CF6EA39" w14:textId="77777777" w:rsidTr="00895D17">
        <w:tc>
          <w:tcPr>
            <w:tcW w:w="3325" w:type="dxa"/>
            <w:vMerge w:val="restart"/>
            <w:tcBorders>
              <w:top w:val="single" w:sz="12" w:space="0" w:color="auto"/>
              <w:left w:val="single" w:sz="4" w:space="0" w:color="auto"/>
              <w:bottom w:val="single" w:sz="12" w:space="0" w:color="auto"/>
              <w:right w:val="single" w:sz="4" w:space="0" w:color="auto"/>
            </w:tcBorders>
            <w:vAlign w:val="center"/>
            <w:hideMark/>
          </w:tcPr>
          <w:p w14:paraId="7A07071A" w14:textId="77777777" w:rsidR="00895D17" w:rsidRDefault="00895D17">
            <w:r>
              <w:t>FY23 (Awaiting Appropriation)</w:t>
            </w:r>
          </w:p>
        </w:tc>
        <w:tc>
          <w:tcPr>
            <w:tcW w:w="2069" w:type="dxa"/>
            <w:tcBorders>
              <w:top w:val="single" w:sz="12" w:space="0" w:color="auto"/>
              <w:left w:val="single" w:sz="4" w:space="0" w:color="auto"/>
              <w:bottom w:val="single" w:sz="4" w:space="0" w:color="auto"/>
              <w:right w:val="single" w:sz="4" w:space="0" w:color="auto"/>
            </w:tcBorders>
            <w:vAlign w:val="center"/>
            <w:hideMark/>
          </w:tcPr>
          <w:p w14:paraId="7AA8713E" w14:textId="77777777" w:rsidR="00895D17" w:rsidRDefault="00895D17">
            <w:pPr>
              <w:jc w:val="center"/>
            </w:pPr>
            <w:r>
              <w:t>26’ BOC</w:t>
            </w:r>
          </w:p>
        </w:tc>
        <w:tc>
          <w:tcPr>
            <w:tcW w:w="2161" w:type="dxa"/>
            <w:tcBorders>
              <w:top w:val="single" w:sz="12" w:space="0" w:color="auto"/>
              <w:left w:val="single" w:sz="4" w:space="0" w:color="auto"/>
              <w:bottom w:val="single" w:sz="4" w:space="0" w:color="auto"/>
              <w:right w:val="single" w:sz="4" w:space="0" w:color="auto"/>
            </w:tcBorders>
            <w:vAlign w:val="center"/>
            <w:hideMark/>
          </w:tcPr>
          <w:p w14:paraId="2B0D6105" w14:textId="77777777" w:rsidR="00895D17" w:rsidRDefault="00895D17">
            <w:pPr>
              <w:jc w:val="center"/>
            </w:pPr>
            <w:r>
              <w:t>1</w:t>
            </w:r>
          </w:p>
        </w:tc>
        <w:tc>
          <w:tcPr>
            <w:tcW w:w="3235" w:type="dxa"/>
            <w:tcBorders>
              <w:top w:val="single" w:sz="12" w:space="0" w:color="auto"/>
              <w:left w:val="single" w:sz="4" w:space="0" w:color="auto"/>
              <w:bottom w:val="single" w:sz="4" w:space="0" w:color="auto"/>
              <w:right w:val="single" w:sz="4" w:space="0" w:color="auto"/>
            </w:tcBorders>
            <w:vAlign w:val="center"/>
            <w:hideMark/>
          </w:tcPr>
          <w:p w14:paraId="3B4FBC48" w14:textId="77777777" w:rsidR="00895D17" w:rsidRDefault="00895D17">
            <w:pPr>
              <w:jc w:val="center"/>
            </w:pPr>
            <w:r>
              <w:t>Replacement</w:t>
            </w:r>
          </w:p>
        </w:tc>
      </w:tr>
      <w:tr w:rsidR="00895D17" w14:paraId="01139891"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27848545"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21F96596" w14:textId="77777777" w:rsidR="00895D17" w:rsidRDefault="00895D17">
            <w:pPr>
              <w:jc w:val="center"/>
            </w:pPr>
            <w:r>
              <w:t>35’ Diesel</w:t>
            </w:r>
          </w:p>
        </w:tc>
        <w:tc>
          <w:tcPr>
            <w:tcW w:w="2161" w:type="dxa"/>
            <w:tcBorders>
              <w:top w:val="single" w:sz="4" w:space="0" w:color="auto"/>
              <w:left w:val="single" w:sz="4" w:space="0" w:color="auto"/>
              <w:bottom w:val="single" w:sz="4" w:space="0" w:color="auto"/>
              <w:right w:val="single" w:sz="4" w:space="0" w:color="auto"/>
            </w:tcBorders>
            <w:vAlign w:val="center"/>
            <w:hideMark/>
          </w:tcPr>
          <w:p w14:paraId="77BAE3D6" w14:textId="77777777" w:rsidR="00895D17" w:rsidRDefault="00895D17">
            <w:pPr>
              <w:jc w:val="center"/>
            </w:pPr>
            <w:r>
              <w:t>4</w:t>
            </w:r>
          </w:p>
        </w:tc>
        <w:tc>
          <w:tcPr>
            <w:tcW w:w="3235" w:type="dxa"/>
            <w:tcBorders>
              <w:top w:val="single" w:sz="4" w:space="0" w:color="auto"/>
              <w:left w:val="single" w:sz="4" w:space="0" w:color="auto"/>
              <w:bottom w:val="single" w:sz="4" w:space="0" w:color="auto"/>
              <w:right w:val="single" w:sz="4" w:space="0" w:color="auto"/>
            </w:tcBorders>
            <w:vAlign w:val="center"/>
            <w:hideMark/>
          </w:tcPr>
          <w:p w14:paraId="57C3795C" w14:textId="77777777" w:rsidR="00895D17" w:rsidRDefault="00895D17">
            <w:pPr>
              <w:jc w:val="center"/>
            </w:pPr>
            <w:r>
              <w:t>Replacement</w:t>
            </w:r>
          </w:p>
        </w:tc>
      </w:tr>
      <w:tr w:rsidR="00895D17" w14:paraId="4A8973EE"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67D0937E"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47B7380B" w14:textId="77777777" w:rsidR="00895D17" w:rsidRDefault="00895D17">
            <w:pPr>
              <w:jc w:val="center"/>
            </w:pPr>
            <w:r>
              <w:t>29’ Diesel</w:t>
            </w:r>
          </w:p>
        </w:tc>
        <w:tc>
          <w:tcPr>
            <w:tcW w:w="2161" w:type="dxa"/>
            <w:tcBorders>
              <w:top w:val="single" w:sz="4" w:space="0" w:color="auto"/>
              <w:left w:val="single" w:sz="4" w:space="0" w:color="auto"/>
              <w:bottom w:val="single" w:sz="4" w:space="0" w:color="auto"/>
              <w:right w:val="single" w:sz="4" w:space="0" w:color="auto"/>
            </w:tcBorders>
            <w:vAlign w:val="center"/>
            <w:hideMark/>
          </w:tcPr>
          <w:p w14:paraId="5AEDD92F" w14:textId="77777777" w:rsidR="00895D17" w:rsidRDefault="00895D17">
            <w:pPr>
              <w:jc w:val="center"/>
            </w:pPr>
            <w:r>
              <w:t>2</w:t>
            </w:r>
          </w:p>
        </w:tc>
        <w:tc>
          <w:tcPr>
            <w:tcW w:w="3235" w:type="dxa"/>
            <w:tcBorders>
              <w:top w:val="single" w:sz="4" w:space="0" w:color="auto"/>
              <w:left w:val="single" w:sz="4" w:space="0" w:color="auto"/>
              <w:bottom w:val="single" w:sz="4" w:space="0" w:color="auto"/>
              <w:right w:val="single" w:sz="4" w:space="0" w:color="auto"/>
            </w:tcBorders>
            <w:vAlign w:val="center"/>
            <w:hideMark/>
          </w:tcPr>
          <w:p w14:paraId="71B1BC15" w14:textId="77777777" w:rsidR="00895D17" w:rsidRDefault="00895D17">
            <w:pPr>
              <w:jc w:val="center"/>
            </w:pPr>
            <w:r>
              <w:t>Replacement</w:t>
            </w:r>
          </w:p>
        </w:tc>
      </w:tr>
      <w:tr w:rsidR="00895D17" w14:paraId="33CBCBD1"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16314682" w14:textId="77777777" w:rsidR="00895D17" w:rsidRDefault="00895D17"/>
        </w:tc>
        <w:tc>
          <w:tcPr>
            <w:tcW w:w="2069" w:type="dxa"/>
            <w:tcBorders>
              <w:top w:val="single" w:sz="4" w:space="0" w:color="auto"/>
              <w:left w:val="single" w:sz="4" w:space="0" w:color="auto"/>
              <w:bottom w:val="single" w:sz="12" w:space="0" w:color="auto"/>
              <w:right w:val="single" w:sz="4" w:space="0" w:color="auto"/>
            </w:tcBorders>
            <w:vAlign w:val="center"/>
            <w:hideMark/>
          </w:tcPr>
          <w:p w14:paraId="7B6AA2EB" w14:textId="77777777" w:rsidR="00895D17" w:rsidRDefault="00895D17">
            <w:pPr>
              <w:jc w:val="center"/>
            </w:pPr>
            <w:r>
              <w:t>29’ Diesel</w:t>
            </w:r>
          </w:p>
        </w:tc>
        <w:tc>
          <w:tcPr>
            <w:tcW w:w="2161" w:type="dxa"/>
            <w:tcBorders>
              <w:top w:val="single" w:sz="4" w:space="0" w:color="auto"/>
              <w:left w:val="single" w:sz="4" w:space="0" w:color="auto"/>
              <w:bottom w:val="single" w:sz="12" w:space="0" w:color="auto"/>
              <w:right w:val="single" w:sz="4" w:space="0" w:color="auto"/>
            </w:tcBorders>
            <w:vAlign w:val="center"/>
            <w:hideMark/>
          </w:tcPr>
          <w:p w14:paraId="44F90C54" w14:textId="77777777" w:rsidR="00895D17" w:rsidRDefault="00895D17">
            <w:pPr>
              <w:jc w:val="center"/>
            </w:pPr>
            <w:r>
              <w:t>4</w:t>
            </w:r>
          </w:p>
        </w:tc>
        <w:tc>
          <w:tcPr>
            <w:tcW w:w="3235" w:type="dxa"/>
            <w:tcBorders>
              <w:top w:val="single" w:sz="4" w:space="0" w:color="auto"/>
              <w:left w:val="single" w:sz="4" w:space="0" w:color="auto"/>
              <w:bottom w:val="single" w:sz="12" w:space="0" w:color="auto"/>
              <w:right w:val="single" w:sz="4" w:space="0" w:color="auto"/>
            </w:tcBorders>
            <w:vAlign w:val="center"/>
            <w:hideMark/>
          </w:tcPr>
          <w:p w14:paraId="215ACF34" w14:textId="77777777" w:rsidR="00895D17" w:rsidRDefault="00895D17">
            <w:pPr>
              <w:jc w:val="center"/>
            </w:pPr>
            <w:r>
              <w:t>Expansion</w:t>
            </w:r>
          </w:p>
        </w:tc>
      </w:tr>
      <w:tr w:rsidR="00895D17" w14:paraId="28167301" w14:textId="77777777" w:rsidTr="00895D17">
        <w:tc>
          <w:tcPr>
            <w:tcW w:w="3325" w:type="dxa"/>
            <w:vMerge w:val="restart"/>
            <w:tcBorders>
              <w:top w:val="single" w:sz="12" w:space="0" w:color="auto"/>
              <w:left w:val="single" w:sz="4" w:space="0" w:color="auto"/>
              <w:bottom w:val="single" w:sz="4" w:space="0" w:color="auto"/>
              <w:right w:val="single" w:sz="4" w:space="0" w:color="auto"/>
            </w:tcBorders>
            <w:vAlign w:val="center"/>
            <w:hideMark/>
          </w:tcPr>
          <w:p w14:paraId="2C56E72B" w14:textId="77777777" w:rsidR="00895D17" w:rsidRDefault="00895D17">
            <w:r>
              <w:t>FY24</w:t>
            </w:r>
          </w:p>
        </w:tc>
        <w:tc>
          <w:tcPr>
            <w:tcW w:w="2069" w:type="dxa"/>
            <w:tcBorders>
              <w:top w:val="single" w:sz="12" w:space="0" w:color="auto"/>
              <w:left w:val="single" w:sz="4" w:space="0" w:color="auto"/>
              <w:bottom w:val="single" w:sz="4" w:space="0" w:color="auto"/>
              <w:right w:val="single" w:sz="4" w:space="0" w:color="auto"/>
            </w:tcBorders>
            <w:vAlign w:val="center"/>
            <w:hideMark/>
          </w:tcPr>
          <w:p w14:paraId="1CEF3916" w14:textId="77777777" w:rsidR="00895D17" w:rsidRDefault="00895D17">
            <w:pPr>
              <w:jc w:val="center"/>
            </w:pPr>
            <w:r>
              <w:t>26’ BOC</w:t>
            </w:r>
          </w:p>
        </w:tc>
        <w:tc>
          <w:tcPr>
            <w:tcW w:w="2161" w:type="dxa"/>
            <w:tcBorders>
              <w:top w:val="single" w:sz="12" w:space="0" w:color="auto"/>
              <w:left w:val="single" w:sz="4" w:space="0" w:color="auto"/>
              <w:bottom w:val="single" w:sz="4" w:space="0" w:color="auto"/>
              <w:right w:val="single" w:sz="4" w:space="0" w:color="auto"/>
            </w:tcBorders>
            <w:vAlign w:val="center"/>
            <w:hideMark/>
          </w:tcPr>
          <w:p w14:paraId="206DBA04" w14:textId="77777777" w:rsidR="00895D17" w:rsidRDefault="00895D17">
            <w:pPr>
              <w:jc w:val="center"/>
            </w:pPr>
            <w:r>
              <w:t>1</w:t>
            </w:r>
          </w:p>
        </w:tc>
        <w:tc>
          <w:tcPr>
            <w:tcW w:w="3235" w:type="dxa"/>
            <w:tcBorders>
              <w:top w:val="single" w:sz="12" w:space="0" w:color="auto"/>
              <w:left w:val="single" w:sz="4" w:space="0" w:color="auto"/>
              <w:bottom w:val="single" w:sz="4" w:space="0" w:color="auto"/>
              <w:right w:val="single" w:sz="4" w:space="0" w:color="auto"/>
            </w:tcBorders>
            <w:vAlign w:val="center"/>
            <w:hideMark/>
          </w:tcPr>
          <w:p w14:paraId="2C85E7B2" w14:textId="77777777" w:rsidR="00895D17" w:rsidRDefault="00895D17">
            <w:pPr>
              <w:jc w:val="center"/>
            </w:pPr>
            <w:r>
              <w:t>Replacement</w:t>
            </w:r>
          </w:p>
        </w:tc>
      </w:tr>
      <w:tr w:rsidR="00895D17" w14:paraId="0650E6BC" w14:textId="77777777" w:rsidTr="00895D17">
        <w:tc>
          <w:tcPr>
            <w:tcW w:w="0" w:type="auto"/>
            <w:vMerge/>
            <w:tcBorders>
              <w:top w:val="single" w:sz="12" w:space="0" w:color="auto"/>
              <w:left w:val="single" w:sz="4" w:space="0" w:color="auto"/>
              <w:bottom w:val="single" w:sz="4" w:space="0" w:color="auto"/>
              <w:right w:val="single" w:sz="4" w:space="0" w:color="auto"/>
            </w:tcBorders>
            <w:vAlign w:val="center"/>
            <w:hideMark/>
          </w:tcPr>
          <w:p w14:paraId="0046B0F4"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32FF2DF9" w14:textId="77777777" w:rsidR="00895D17" w:rsidRDefault="00895D17">
            <w:pPr>
              <w:jc w:val="center"/>
            </w:pPr>
            <w:r>
              <w:t>35’ Diesel</w:t>
            </w:r>
          </w:p>
        </w:tc>
        <w:tc>
          <w:tcPr>
            <w:tcW w:w="2161" w:type="dxa"/>
            <w:tcBorders>
              <w:top w:val="single" w:sz="4" w:space="0" w:color="auto"/>
              <w:left w:val="single" w:sz="4" w:space="0" w:color="auto"/>
              <w:bottom w:val="single" w:sz="4" w:space="0" w:color="auto"/>
              <w:right w:val="single" w:sz="4" w:space="0" w:color="auto"/>
            </w:tcBorders>
            <w:vAlign w:val="center"/>
            <w:hideMark/>
          </w:tcPr>
          <w:p w14:paraId="02937F2E" w14:textId="77777777" w:rsidR="00895D17" w:rsidRDefault="00895D17">
            <w:pPr>
              <w:jc w:val="center"/>
            </w:pPr>
            <w:r>
              <w:t>4</w:t>
            </w:r>
          </w:p>
        </w:tc>
        <w:tc>
          <w:tcPr>
            <w:tcW w:w="3235" w:type="dxa"/>
            <w:tcBorders>
              <w:top w:val="single" w:sz="4" w:space="0" w:color="auto"/>
              <w:left w:val="single" w:sz="4" w:space="0" w:color="auto"/>
              <w:bottom w:val="single" w:sz="4" w:space="0" w:color="auto"/>
              <w:right w:val="single" w:sz="4" w:space="0" w:color="auto"/>
            </w:tcBorders>
            <w:vAlign w:val="center"/>
            <w:hideMark/>
          </w:tcPr>
          <w:p w14:paraId="6F82C1C7" w14:textId="77777777" w:rsidR="00895D17" w:rsidRDefault="00895D17">
            <w:pPr>
              <w:jc w:val="center"/>
            </w:pPr>
            <w:r>
              <w:t>Replacement</w:t>
            </w:r>
          </w:p>
        </w:tc>
      </w:tr>
      <w:tr w:rsidR="00895D17" w14:paraId="10437B2E" w14:textId="77777777" w:rsidTr="00895D17">
        <w:tc>
          <w:tcPr>
            <w:tcW w:w="0" w:type="auto"/>
            <w:vMerge/>
            <w:tcBorders>
              <w:top w:val="single" w:sz="12" w:space="0" w:color="auto"/>
              <w:left w:val="single" w:sz="4" w:space="0" w:color="auto"/>
              <w:bottom w:val="single" w:sz="4" w:space="0" w:color="auto"/>
              <w:right w:val="single" w:sz="4" w:space="0" w:color="auto"/>
            </w:tcBorders>
            <w:vAlign w:val="center"/>
            <w:hideMark/>
          </w:tcPr>
          <w:p w14:paraId="68B07304"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54394D8C" w14:textId="77777777" w:rsidR="00895D17" w:rsidRDefault="00895D17">
            <w:pPr>
              <w:jc w:val="center"/>
            </w:pPr>
            <w:r>
              <w:t>29’ Diesel</w:t>
            </w:r>
          </w:p>
        </w:tc>
        <w:tc>
          <w:tcPr>
            <w:tcW w:w="2161" w:type="dxa"/>
            <w:tcBorders>
              <w:top w:val="single" w:sz="4" w:space="0" w:color="auto"/>
              <w:left w:val="single" w:sz="4" w:space="0" w:color="auto"/>
              <w:bottom w:val="single" w:sz="4" w:space="0" w:color="auto"/>
              <w:right w:val="single" w:sz="4" w:space="0" w:color="auto"/>
            </w:tcBorders>
            <w:vAlign w:val="center"/>
            <w:hideMark/>
          </w:tcPr>
          <w:p w14:paraId="3560DFAF" w14:textId="77777777" w:rsidR="00895D17" w:rsidRDefault="00895D17">
            <w:pPr>
              <w:jc w:val="center"/>
            </w:pPr>
            <w:r>
              <w:t>7</w:t>
            </w:r>
          </w:p>
        </w:tc>
        <w:tc>
          <w:tcPr>
            <w:tcW w:w="3235" w:type="dxa"/>
            <w:tcBorders>
              <w:top w:val="single" w:sz="4" w:space="0" w:color="auto"/>
              <w:left w:val="single" w:sz="4" w:space="0" w:color="auto"/>
              <w:bottom w:val="single" w:sz="4" w:space="0" w:color="auto"/>
              <w:right w:val="single" w:sz="4" w:space="0" w:color="auto"/>
            </w:tcBorders>
            <w:vAlign w:val="center"/>
            <w:hideMark/>
          </w:tcPr>
          <w:p w14:paraId="6071FEA9" w14:textId="77777777" w:rsidR="00895D17" w:rsidRDefault="00895D17">
            <w:pPr>
              <w:jc w:val="center"/>
            </w:pPr>
            <w:r>
              <w:t>Replacement</w:t>
            </w:r>
          </w:p>
        </w:tc>
      </w:tr>
      <w:tr w:rsidR="00895D17" w14:paraId="7D8D67A2" w14:textId="77777777" w:rsidTr="00895D17">
        <w:tc>
          <w:tcPr>
            <w:tcW w:w="0" w:type="auto"/>
            <w:vMerge/>
            <w:tcBorders>
              <w:top w:val="single" w:sz="12" w:space="0" w:color="auto"/>
              <w:left w:val="single" w:sz="4" w:space="0" w:color="auto"/>
              <w:bottom w:val="single" w:sz="4" w:space="0" w:color="auto"/>
              <w:right w:val="single" w:sz="4" w:space="0" w:color="auto"/>
            </w:tcBorders>
            <w:vAlign w:val="center"/>
            <w:hideMark/>
          </w:tcPr>
          <w:p w14:paraId="07D948C4"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35C92B65" w14:textId="77777777" w:rsidR="00895D17" w:rsidRDefault="00895D17">
            <w:pPr>
              <w:jc w:val="center"/>
            </w:pPr>
            <w:r>
              <w:t>35’ Diesel</w:t>
            </w:r>
          </w:p>
        </w:tc>
        <w:tc>
          <w:tcPr>
            <w:tcW w:w="2161" w:type="dxa"/>
            <w:tcBorders>
              <w:top w:val="single" w:sz="4" w:space="0" w:color="auto"/>
              <w:left w:val="single" w:sz="4" w:space="0" w:color="auto"/>
              <w:bottom w:val="single" w:sz="4" w:space="0" w:color="auto"/>
              <w:right w:val="single" w:sz="4" w:space="0" w:color="auto"/>
            </w:tcBorders>
            <w:vAlign w:val="center"/>
            <w:hideMark/>
          </w:tcPr>
          <w:p w14:paraId="01929145" w14:textId="77777777" w:rsidR="00895D17" w:rsidRDefault="00895D17">
            <w:pPr>
              <w:jc w:val="center"/>
            </w:pPr>
            <w:r>
              <w:t>4</w:t>
            </w:r>
          </w:p>
        </w:tc>
        <w:tc>
          <w:tcPr>
            <w:tcW w:w="3235" w:type="dxa"/>
            <w:tcBorders>
              <w:top w:val="single" w:sz="4" w:space="0" w:color="auto"/>
              <w:left w:val="single" w:sz="4" w:space="0" w:color="auto"/>
              <w:bottom w:val="single" w:sz="4" w:space="0" w:color="auto"/>
              <w:right w:val="single" w:sz="4" w:space="0" w:color="auto"/>
            </w:tcBorders>
            <w:vAlign w:val="center"/>
            <w:hideMark/>
          </w:tcPr>
          <w:p w14:paraId="6EDBB3CB" w14:textId="77777777" w:rsidR="00895D17" w:rsidRDefault="00895D17">
            <w:pPr>
              <w:jc w:val="center"/>
            </w:pPr>
            <w:r>
              <w:t>Expansion</w:t>
            </w:r>
          </w:p>
        </w:tc>
      </w:tr>
      <w:tr w:rsidR="00895D17" w14:paraId="19A03C21" w14:textId="77777777" w:rsidTr="00895D17">
        <w:tc>
          <w:tcPr>
            <w:tcW w:w="3325" w:type="dxa"/>
            <w:vMerge w:val="restart"/>
            <w:tcBorders>
              <w:top w:val="single" w:sz="12" w:space="0" w:color="auto"/>
              <w:left w:val="single" w:sz="4" w:space="0" w:color="auto"/>
              <w:bottom w:val="single" w:sz="12" w:space="0" w:color="auto"/>
              <w:right w:val="single" w:sz="4" w:space="0" w:color="auto"/>
            </w:tcBorders>
            <w:vAlign w:val="center"/>
            <w:hideMark/>
          </w:tcPr>
          <w:p w14:paraId="34CDA504" w14:textId="77777777" w:rsidR="00895D17" w:rsidRDefault="00895D17">
            <w:r>
              <w:t>FY25</w:t>
            </w:r>
          </w:p>
        </w:tc>
        <w:tc>
          <w:tcPr>
            <w:tcW w:w="2069" w:type="dxa"/>
            <w:tcBorders>
              <w:top w:val="single" w:sz="12" w:space="0" w:color="auto"/>
              <w:left w:val="single" w:sz="4" w:space="0" w:color="auto"/>
              <w:bottom w:val="single" w:sz="4" w:space="0" w:color="auto"/>
              <w:right w:val="single" w:sz="4" w:space="0" w:color="auto"/>
            </w:tcBorders>
            <w:vAlign w:val="center"/>
            <w:hideMark/>
          </w:tcPr>
          <w:p w14:paraId="50406B56" w14:textId="77777777" w:rsidR="00895D17" w:rsidRDefault="00895D17">
            <w:pPr>
              <w:jc w:val="center"/>
            </w:pPr>
            <w:r>
              <w:t>35’ Diesel</w:t>
            </w:r>
          </w:p>
        </w:tc>
        <w:tc>
          <w:tcPr>
            <w:tcW w:w="2161" w:type="dxa"/>
            <w:tcBorders>
              <w:top w:val="single" w:sz="12" w:space="0" w:color="auto"/>
              <w:left w:val="single" w:sz="4" w:space="0" w:color="auto"/>
              <w:bottom w:val="single" w:sz="4" w:space="0" w:color="auto"/>
              <w:right w:val="single" w:sz="4" w:space="0" w:color="auto"/>
            </w:tcBorders>
            <w:vAlign w:val="center"/>
            <w:hideMark/>
          </w:tcPr>
          <w:p w14:paraId="526296C3" w14:textId="77777777" w:rsidR="00895D17" w:rsidRDefault="00895D17">
            <w:pPr>
              <w:jc w:val="center"/>
            </w:pPr>
            <w:r>
              <w:t>3</w:t>
            </w:r>
          </w:p>
        </w:tc>
        <w:tc>
          <w:tcPr>
            <w:tcW w:w="3235" w:type="dxa"/>
            <w:tcBorders>
              <w:top w:val="single" w:sz="12" w:space="0" w:color="auto"/>
              <w:left w:val="single" w:sz="4" w:space="0" w:color="auto"/>
              <w:bottom w:val="single" w:sz="4" w:space="0" w:color="auto"/>
              <w:right w:val="single" w:sz="4" w:space="0" w:color="auto"/>
            </w:tcBorders>
            <w:vAlign w:val="center"/>
            <w:hideMark/>
          </w:tcPr>
          <w:p w14:paraId="2B3E8C7C" w14:textId="77777777" w:rsidR="00895D17" w:rsidRDefault="00895D17">
            <w:pPr>
              <w:jc w:val="center"/>
            </w:pPr>
            <w:r>
              <w:t>Expansion</w:t>
            </w:r>
          </w:p>
        </w:tc>
      </w:tr>
      <w:tr w:rsidR="00895D17" w14:paraId="20588097"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332F719D"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3E2673A5" w14:textId="77777777" w:rsidR="00895D17" w:rsidRDefault="00895D17">
            <w:pPr>
              <w:jc w:val="center"/>
            </w:pPr>
            <w:r>
              <w:t>35’/29’ BEB</w:t>
            </w:r>
          </w:p>
        </w:tc>
        <w:tc>
          <w:tcPr>
            <w:tcW w:w="2161" w:type="dxa"/>
            <w:tcBorders>
              <w:top w:val="single" w:sz="4" w:space="0" w:color="auto"/>
              <w:left w:val="single" w:sz="4" w:space="0" w:color="auto"/>
              <w:bottom w:val="single" w:sz="4" w:space="0" w:color="auto"/>
              <w:right w:val="single" w:sz="4" w:space="0" w:color="auto"/>
            </w:tcBorders>
            <w:vAlign w:val="center"/>
            <w:hideMark/>
          </w:tcPr>
          <w:p w14:paraId="642F5216" w14:textId="77777777" w:rsidR="00895D17" w:rsidRDefault="00895D17">
            <w:pPr>
              <w:jc w:val="center"/>
            </w:pPr>
            <w:r>
              <w:t>2</w:t>
            </w:r>
          </w:p>
        </w:tc>
        <w:tc>
          <w:tcPr>
            <w:tcW w:w="3235" w:type="dxa"/>
            <w:tcBorders>
              <w:top w:val="single" w:sz="4" w:space="0" w:color="auto"/>
              <w:left w:val="single" w:sz="4" w:space="0" w:color="auto"/>
              <w:bottom w:val="single" w:sz="4" w:space="0" w:color="auto"/>
              <w:right w:val="single" w:sz="4" w:space="0" w:color="auto"/>
            </w:tcBorders>
            <w:vAlign w:val="center"/>
            <w:hideMark/>
          </w:tcPr>
          <w:p w14:paraId="066D0B55" w14:textId="77777777" w:rsidR="00895D17" w:rsidRDefault="00895D17">
            <w:pPr>
              <w:jc w:val="center"/>
            </w:pPr>
            <w:r>
              <w:t>Expansion</w:t>
            </w:r>
          </w:p>
        </w:tc>
      </w:tr>
      <w:tr w:rsidR="00895D17" w14:paraId="0605467F"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7E49E9FB" w14:textId="77777777" w:rsidR="00895D17" w:rsidRDefault="00895D17"/>
        </w:tc>
        <w:tc>
          <w:tcPr>
            <w:tcW w:w="2069" w:type="dxa"/>
            <w:tcBorders>
              <w:top w:val="single" w:sz="4" w:space="0" w:color="auto"/>
              <w:left w:val="single" w:sz="4" w:space="0" w:color="auto"/>
              <w:bottom w:val="single" w:sz="12" w:space="0" w:color="auto"/>
              <w:right w:val="single" w:sz="4" w:space="0" w:color="auto"/>
            </w:tcBorders>
            <w:vAlign w:val="center"/>
            <w:hideMark/>
          </w:tcPr>
          <w:p w14:paraId="74A24D2C" w14:textId="77777777" w:rsidR="00895D17" w:rsidRDefault="00895D17">
            <w:pPr>
              <w:jc w:val="center"/>
            </w:pPr>
            <w:r>
              <w:t>29’ Diesel</w:t>
            </w:r>
          </w:p>
        </w:tc>
        <w:tc>
          <w:tcPr>
            <w:tcW w:w="2161" w:type="dxa"/>
            <w:tcBorders>
              <w:top w:val="single" w:sz="4" w:space="0" w:color="auto"/>
              <w:left w:val="single" w:sz="4" w:space="0" w:color="auto"/>
              <w:bottom w:val="single" w:sz="12" w:space="0" w:color="auto"/>
              <w:right w:val="single" w:sz="4" w:space="0" w:color="auto"/>
            </w:tcBorders>
            <w:vAlign w:val="center"/>
            <w:hideMark/>
          </w:tcPr>
          <w:p w14:paraId="11778F18" w14:textId="77777777" w:rsidR="00895D17" w:rsidRDefault="00895D17">
            <w:pPr>
              <w:jc w:val="center"/>
            </w:pPr>
            <w:r>
              <w:t>1</w:t>
            </w:r>
          </w:p>
        </w:tc>
        <w:tc>
          <w:tcPr>
            <w:tcW w:w="3235" w:type="dxa"/>
            <w:tcBorders>
              <w:top w:val="single" w:sz="4" w:space="0" w:color="auto"/>
              <w:left w:val="single" w:sz="4" w:space="0" w:color="auto"/>
              <w:bottom w:val="single" w:sz="12" w:space="0" w:color="auto"/>
              <w:right w:val="single" w:sz="4" w:space="0" w:color="auto"/>
            </w:tcBorders>
            <w:vAlign w:val="center"/>
            <w:hideMark/>
          </w:tcPr>
          <w:p w14:paraId="32B933CE" w14:textId="77777777" w:rsidR="00895D17" w:rsidRDefault="00895D17">
            <w:pPr>
              <w:jc w:val="center"/>
            </w:pPr>
            <w:r>
              <w:t>Replacement (BOCs to 29’)</w:t>
            </w:r>
          </w:p>
        </w:tc>
      </w:tr>
      <w:tr w:rsidR="00895D17" w14:paraId="3BEABCA7" w14:textId="77777777" w:rsidTr="00895D17">
        <w:tc>
          <w:tcPr>
            <w:tcW w:w="3325" w:type="dxa"/>
            <w:vMerge w:val="restart"/>
            <w:tcBorders>
              <w:top w:val="single" w:sz="12" w:space="0" w:color="auto"/>
              <w:left w:val="single" w:sz="4" w:space="0" w:color="auto"/>
              <w:bottom w:val="single" w:sz="12" w:space="0" w:color="auto"/>
              <w:right w:val="single" w:sz="4" w:space="0" w:color="auto"/>
            </w:tcBorders>
            <w:vAlign w:val="center"/>
            <w:hideMark/>
          </w:tcPr>
          <w:p w14:paraId="136E35C1" w14:textId="77777777" w:rsidR="00895D17" w:rsidRDefault="00895D17">
            <w:r>
              <w:t>FY26</w:t>
            </w:r>
          </w:p>
        </w:tc>
        <w:tc>
          <w:tcPr>
            <w:tcW w:w="2069" w:type="dxa"/>
            <w:tcBorders>
              <w:top w:val="single" w:sz="12" w:space="0" w:color="auto"/>
              <w:left w:val="single" w:sz="4" w:space="0" w:color="auto"/>
              <w:bottom w:val="single" w:sz="4" w:space="0" w:color="auto"/>
              <w:right w:val="single" w:sz="4" w:space="0" w:color="auto"/>
            </w:tcBorders>
            <w:vAlign w:val="center"/>
            <w:hideMark/>
          </w:tcPr>
          <w:p w14:paraId="0610E8C3" w14:textId="77777777" w:rsidR="00895D17" w:rsidRDefault="00895D17">
            <w:pPr>
              <w:jc w:val="center"/>
            </w:pPr>
            <w:r>
              <w:t>35’ Diesel</w:t>
            </w:r>
          </w:p>
        </w:tc>
        <w:tc>
          <w:tcPr>
            <w:tcW w:w="2161" w:type="dxa"/>
            <w:tcBorders>
              <w:top w:val="single" w:sz="12" w:space="0" w:color="auto"/>
              <w:left w:val="single" w:sz="4" w:space="0" w:color="auto"/>
              <w:bottom w:val="single" w:sz="4" w:space="0" w:color="auto"/>
              <w:right w:val="single" w:sz="4" w:space="0" w:color="auto"/>
            </w:tcBorders>
            <w:vAlign w:val="center"/>
            <w:hideMark/>
          </w:tcPr>
          <w:p w14:paraId="51BE246E" w14:textId="77777777" w:rsidR="00895D17" w:rsidRDefault="00895D17">
            <w:pPr>
              <w:jc w:val="center"/>
            </w:pPr>
            <w:r>
              <w:t>2</w:t>
            </w:r>
          </w:p>
        </w:tc>
        <w:tc>
          <w:tcPr>
            <w:tcW w:w="3235" w:type="dxa"/>
            <w:tcBorders>
              <w:top w:val="single" w:sz="12" w:space="0" w:color="auto"/>
              <w:left w:val="single" w:sz="4" w:space="0" w:color="auto"/>
              <w:bottom w:val="single" w:sz="4" w:space="0" w:color="auto"/>
              <w:right w:val="single" w:sz="4" w:space="0" w:color="auto"/>
            </w:tcBorders>
            <w:vAlign w:val="center"/>
            <w:hideMark/>
          </w:tcPr>
          <w:p w14:paraId="06887485" w14:textId="77777777" w:rsidR="00895D17" w:rsidRDefault="00895D17">
            <w:pPr>
              <w:jc w:val="center"/>
            </w:pPr>
            <w:r>
              <w:t>Replacement</w:t>
            </w:r>
          </w:p>
        </w:tc>
      </w:tr>
      <w:tr w:rsidR="00895D17" w14:paraId="3934435A"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37541E32" w14:textId="77777777" w:rsidR="00895D17" w:rsidRDefault="00895D17"/>
        </w:tc>
        <w:tc>
          <w:tcPr>
            <w:tcW w:w="2069" w:type="dxa"/>
            <w:tcBorders>
              <w:top w:val="single" w:sz="4" w:space="0" w:color="auto"/>
              <w:left w:val="single" w:sz="4" w:space="0" w:color="auto"/>
              <w:bottom w:val="single" w:sz="12" w:space="0" w:color="auto"/>
              <w:right w:val="single" w:sz="4" w:space="0" w:color="auto"/>
            </w:tcBorders>
            <w:vAlign w:val="center"/>
            <w:hideMark/>
          </w:tcPr>
          <w:p w14:paraId="3117419A" w14:textId="77777777" w:rsidR="00895D17" w:rsidRDefault="00895D17">
            <w:pPr>
              <w:jc w:val="center"/>
            </w:pPr>
            <w:r>
              <w:t>29’ Diesel</w:t>
            </w:r>
          </w:p>
        </w:tc>
        <w:tc>
          <w:tcPr>
            <w:tcW w:w="2161" w:type="dxa"/>
            <w:tcBorders>
              <w:top w:val="single" w:sz="4" w:space="0" w:color="auto"/>
              <w:left w:val="single" w:sz="4" w:space="0" w:color="auto"/>
              <w:bottom w:val="single" w:sz="12" w:space="0" w:color="auto"/>
              <w:right w:val="single" w:sz="4" w:space="0" w:color="auto"/>
            </w:tcBorders>
            <w:vAlign w:val="center"/>
            <w:hideMark/>
          </w:tcPr>
          <w:p w14:paraId="643C77D3" w14:textId="77777777" w:rsidR="00895D17" w:rsidRDefault="00895D17">
            <w:pPr>
              <w:jc w:val="center"/>
            </w:pPr>
            <w:r>
              <w:t>5</w:t>
            </w:r>
          </w:p>
        </w:tc>
        <w:tc>
          <w:tcPr>
            <w:tcW w:w="3235" w:type="dxa"/>
            <w:tcBorders>
              <w:top w:val="single" w:sz="4" w:space="0" w:color="auto"/>
              <w:left w:val="single" w:sz="4" w:space="0" w:color="auto"/>
              <w:bottom w:val="single" w:sz="12" w:space="0" w:color="auto"/>
              <w:right w:val="single" w:sz="4" w:space="0" w:color="auto"/>
            </w:tcBorders>
            <w:vAlign w:val="center"/>
            <w:hideMark/>
          </w:tcPr>
          <w:p w14:paraId="7ECDD368" w14:textId="77777777" w:rsidR="00895D17" w:rsidRDefault="00895D17">
            <w:pPr>
              <w:jc w:val="center"/>
            </w:pPr>
            <w:r>
              <w:t>Replacement (BOCs to 29’)</w:t>
            </w:r>
          </w:p>
        </w:tc>
      </w:tr>
      <w:tr w:rsidR="00895D17" w14:paraId="28BDB15A" w14:textId="77777777" w:rsidTr="00895D17">
        <w:tc>
          <w:tcPr>
            <w:tcW w:w="3325" w:type="dxa"/>
            <w:vMerge w:val="restart"/>
            <w:tcBorders>
              <w:top w:val="single" w:sz="12" w:space="0" w:color="auto"/>
              <w:left w:val="single" w:sz="4" w:space="0" w:color="auto"/>
              <w:bottom w:val="single" w:sz="12" w:space="0" w:color="auto"/>
              <w:right w:val="single" w:sz="4" w:space="0" w:color="auto"/>
            </w:tcBorders>
            <w:vAlign w:val="center"/>
            <w:hideMark/>
          </w:tcPr>
          <w:p w14:paraId="2508B63A" w14:textId="77777777" w:rsidR="00895D17" w:rsidRDefault="00895D17">
            <w:r>
              <w:t>FY27</w:t>
            </w:r>
          </w:p>
        </w:tc>
        <w:tc>
          <w:tcPr>
            <w:tcW w:w="2069" w:type="dxa"/>
            <w:tcBorders>
              <w:top w:val="single" w:sz="12" w:space="0" w:color="auto"/>
              <w:left w:val="single" w:sz="4" w:space="0" w:color="auto"/>
              <w:bottom w:val="single" w:sz="4" w:space="0" w:color="auto"/>
              <w:right w:val="single" w:sz="4" w:space="0" w:color="auto"/>
            </w:tcBorders>
            <w:vAlign w:val="center"/>
            <w:hideMark/>
          </w:tcPr>
          <w:p w14:paraId="5A43A370" w14:textId="77777777" w:rsidR="00895D17" w:rsidRDefault="00895D17">
            <w:pPr>
              <w:jc w:val="center"/>
            </w:pPr>
            <w:r>
              <w:t>35’ Diesel</w:t>
            </w:r>
          </w:p>
        </w:tc>
        <w:tc>
          <w:tcPr>
            <w:tcW w:w="2161" w:type="dxa"/>
            <w:tcBorders>
              <w:top w:val="single" w:sz="12" w:space="0" w:color="auto"/>
              <w:left w:val="single" w:sz="4" w:space="0" w:color="auto"/>
              <w:bottom w:val="single" w:sz="4" w:space="0" w:color="auto"/>
              <w:right w:val="single" w:sz="4" w:space="0" w:color="auto"/>
            </w:tcBorders>
            <w:vAlign w:val="center"/>
            <w:hideMark/>
          </w:tcPr>
          <w:p w14:paraId="6FE1EDC1" w14:textId="77777777" w:rsidR="00895D17" w:rsidRDefault="00895D17">
            <w:pPr>
              <w:jc w:val="center"/>
            </w:pPr>
            <w:r>
              <w:t>5</w:t>
            </w:r>
          </w:p>
        </w:tc>
        <w:tc>
          <w:tcPr>
            <w:tcW w:w="3235" w:type="dxa"/>
            <w:tcBorders>
              <w:top w:val="single" w:sz="12" w:space="0" w:color="auto"/>
              <w:left w:val="single" w:sz="4" w:space="0" w:color="auto"/>
              <w:bottom w:val="single" w:sz="4" w:space="0" w:color="auto"/>
              <w:right w:val="single" w:sz="4" w:space="0" w:color="auto"/>
            </w:tcBorders>
            <w:vAlign w:val="center"/>
            <w:hideMark/>
          </w:tcPr>
          <w:p w14:paraId="496AFECC" w14:textId="77777777" w:rsidR="00895D17" w:rsidRDefault="00895D17">
            <w:pPr>
              <w:jc w:val="center"/>
            </w:pPr>
            <w:r>
              <w:t>Replacement</w:t>
            </w:r>
          </w:p>
        </w:tc>
      </w:tr>
      <w:tr w:rsidR="00895D17" w14:paraId="46A00FB8" w14:textId="77777777" w:rsidTr="00895D17">
        <w:tc>
          <w:tcPr>
            <w:tcW w:w="0" w:type="auto"/>
            <w:vMerge/>
            <w:tcBorders>
              <w:top w:val="single" w:sz="12" w:space="0" w:color="auto"/>
              <w:left w:val="single" w:sz="4" w:space="0" w:color="auto"/>
              <w:bottom w:val="single" w:sz="12" w:space="0" w:color="auto"/>
              <w:right w:val="single" w:sz="4" w:space="0" w:color="auto"/>
            </w:tcBorders>
            <w:vAlign w:val="center"/>
            <w:hideMark/>
          </w:tcPr>
          <w:p w14:paraId="104989FD" w14:textId="77777777" w:rsidR="00895D17" w:rsidRDefault="00895D17"/>
        </w:tc>
        <w:tc>
          <w:tcPr>
            <w:tcW w:w="2069" w:type="dxa"/>
            <w:tcBorders>
              <w:top w:val="single" w:sz="4" w:space="0" w:color="auto"/>
              <w:left w:val="single" w:sz="4" w:space="0" w:color="auto"/>
              <w:bottom w:val="single" w:sz="12" w:space="0" w:color="auto"/>
              <w:right w:val="single" w:sz="4" w:space="0" w:color="auto"/>
            </w:tcBorders>
            <w:vAlign w:val="center"/>
            <w:hideMark/>
          </w:tcPr>
          <w:p w14:paraId="703F5C8A" w14:textId="77777777" w:rsidR="00895D17" w:rsidRDefault="00895D17">
            <w:pPr>
              <w:jc w:val="center"/>
            </w:pPr>
            <w:r>
              <w:t>29’ Diesel</w:t>
            </w:r>
          </w:p>
        </w:tc>
        <w:tc>
          <w:tcPr>
            <w:tcW w:w="2161" w:type="dxa"/>
            <w:tcBorders>
              <w:top w:val="single" w:sz="4" w:space="0" w:color="auto"/>
              <w:left w:val="single" w:sz="4" w:space="0" w:color="auto"/>
              <w:bottom w:val="single" w:sz="12" w:space="0" w:color="auto"/>
              <w:right w:val="single" w:sz="4" w:space="0" w:color="auto"/>
            </w:tcBorders>
            <w:vAlign w:val="center"/>
            <w:hideMark/>
          </w:tcPr>
          <w:p w14:paraId="49CE0BB9" w14:textId="77777777" w:rsidR="00895D17" w:rsidRDefault="00895D17">
            <w:pPr>
              <w:jc w:val="center"/>
            </w:pPr>
            <w:r>
              <w:t>2</w:t>
            </w:r>
          </w:p>
        </w:tc>
        <w:tc>
          <w:tcPr>
            <w:tcW w:w="3235" w:type="dxa"/>
            <w:tcBorders>
              <w:top w:val="single" w:sz="4" w:space="0" w:color="auto"/>
              <w:left w:val="single" w:sz="4" w:space="0" w:color="auto"/>
              <w:bottom w:val="single" w:sz="12" w:space="0" w:color="auto"/>
              <w:right w:val="single" w:sz="4" w:space="0" w:color="auto"/>
            </w:tcBorders>
            <w:vAlign w:val="center"/>
            <w:hideMark/>
          </w:tcPr>
          <w:p w14:paraId="00A4A023" w14:textId="77777777" w:rsidR="00895D17" w:rsidRDefault="00895D17">
            <w:pPr>
              <w:jc w:val="center"/>
            </w:pPr>
            <w:r>
              <w:t>Replacement (BOCs to 29’)</w:t>
            </w:r>
          </w:p>
        </w:tc>
      </w:tr>
      <w:tr w:rsidR="00895D17" w14:paraId="3EA4177B" w14:textId="77777777" w:rsidTr="00895D17">
        <w:tc>
          <w:tcPr>
            <w:tcW w:w="3325" w:type="dxa"/>
            <w:vMerge w:val="restart"/>
            <w:tcBorders>
              <w:top w:val="single" w:sz="12" w:space="0" w:color="auto"/>
              <w:left w:val="single" w:sz="4" w:space="0" w:color="auto"/>
              <w:bottom w:val="single" w:sz="4" w:space="0" w:color="auto"/>
              <w:right w:val="single" w:sz="4" w:space="0" w:color="auto"/>
            </w:tcBorders>
            <w:vAlign w:val="center"/>
            <w:hideMark/>
          </w:tcPr>
          <w:p w14:paraId="0587D7BF" w14:textId="77777777" w:rsidR="00895D17" w:rsidRDefault="00895D17">
            <w:r>
              <w:t>FY28</w:t>
            </w:r>
          </w:p>
        </w:tc>
        <w:tc>
          <w:tcPr>
            <w:tcW w:w="2069" w:type="dxa"/>
            <w:tcBorders>
              <w:top w:val="single" w:sz="12" w:space="0" w:color="auto"/>
              <w:left w:val="single" w:sz="4" w:space="0" w:color="auto"/>
              <w:bottom w:val="single" w:sz="4" w:space="0" w:color="auto"/>
              <w:right w:val="single" w:sz="4" w:space="0" w:color="auto"/>
            </w:tcBorders>
            <w:vAlign w:val="center"/>
            <w:hideMark/>
          </w:tcPr>
          <w:p w14:paraId="476C676B" w14:textId="77777777" w:rsidR="00895D17" w:rsidRDefault="00895D17">
            <w:pPr>
              <w:jc w:val="center"/>
            </w:pPr>
            <w:r>
              <w:t>35’ Diesel</w:t>
            </w:r>
          </w:p>
        </w:tc>
        <w:tc>
          <w:tcPr>
            <w:tcW w:w="2161" w:type="dxa"/>
            <w:tcBorders>
              <w:top w:val="single" w:sz="12" w:space="0" w:color="auto"/>
              <w:left w:val="single" w:sz="4" w:space="0" w:color="auto"/>
              <w:bottom w:val="single" w:sz="4" w:space="0" w:color="auto"/>
              <w:right w:val="single" w:sz="4" w:space="0" w:color="auto"/>
            </w:tcBorders>
            <w:vAlign w:val="center"/>
            <w:hideMark/>
          </w:tcPr>
          <w:p w14:paraId="24C85415" w14:textId="77777777" w:rsidR="00895D17" w:rsidRDefault="00895D17">
            <w:pPr>
              <w:jc w:val="center"/>
            </w:pPr>
            <w:r>
              <w:t>3</w:t>
            </w:r>
          </w:p>
        </w:tc>
        <w:tc>
          <w:tcPr>
            <w:tcW w:w="3235" w:type="dxa"/>
            <w:tcBorders>
              <w:top w:val="single" w:sz="12" w:space="0" w:color="auto"/>
              <w:left w:val="single" w:sz="4" w:space="0" w:color="auto"/>
              <w:bottom w:val="single" w:sz="4" w:space="0" w:color="auto"/>
              <w:right w:val="single" w:sz="4" w:space="0" w:color="auto"/>
            </w:tcBorders>
            <w:vAlign w:val="center"/>
            <w:hideMark/>
          </w:tcPr>
          <w:p w14:paraId="344E65CC" w14:textId="77777777" w:rsidR="00895D17" w:rsidRDefault="00895D17">
            <w:pPr>
              <w:jc w:val="center"/>
            </w:pPr>
            <w:r>
              <w:t>Replacement</w:t>
            </w:r>
          </w:p>
        </w:tc>
      </w:tr>
      <w:tr w:rsidR="00895D17" w14:paraId="1B8E21CD" w14:textId="77777777" w:rsidTr="00895D17">
        <w:tc>
          <w:tcPr>
            <w:tcW w:w="0" w:type="auto"/>
            <w:vMerge/>
            <w:tcBorders>
              <w:top w:val="single" w:sz="12" w:space="0" w:color="auto"/>
              <w:left w:val="single" w:sz="4" w:space="0" w:color="auto"/>
              <w:bottom w:val="single" w:sz="4" w:space="0" w:color="auto"/>
              <w:right w:val="single" w:sz="4" w:space="0" w:color="auto"/>
            </w:tcBorders>
            <w:vAlign w:val="center"/>
            <w:hideMark/>
          </w:tcPr>
          <w:p w14:paraId="38259164" w14:textId="77777777" w:rsidR="00895D17" w:rsidRDefault="00895D17"/>
        </w:tc>
        <w:tc>
          <w:tcPr>
            <w:tcW w:w="2069" w:type="dxa"/>
            <w:tcBorders>
              <w:top w:val="single" w:sz="4" w:space="0" w:color="auto"/>
              <w:left w:val="single" w:sz="4" w:space="0" w:color="auto"/>
              <w:bottom w:val="single" w:sz="4" w:space="0" w:color="auto"/>
              <w:right w:val="single" w:sz="4" w:space="0" w:color="auto"/>
            </w:tcBorders>
            <w:vAlign w:val="center"/>
            <w:hideMark/>
          </w:tcPr>
          <w:p w14:paraId="14477CA7" w14:textId="77777777" w:rsidR="00895D17" w:rsidRDefault="00895D17">
            <w:pPr>
              <w:jc w:val="center"/>
            </w:pPr>
            <w:r>
              <w:t>35’ Alt Bus</w:t>
            </w:r>
          </w:p>
        </w:tc>
        <w:tc>
          <w:tcPr>
            <w:tcW w:w="2161" w:type="dxa"/>
            <w:tcBorders>
              <w:top w:val="single" w:sz="4" w:space="0" w:color="auto"/>
              <w:left w:val="single" w:sz="4" w:space="0" w:color="auto"/>
              <w:bottom w:val="single" w:sz="4" w:space="0" w:color="auto"/>
              <w:right w:val="single" w:sz="4" w:space="0" w:color="auto"/>
            </w:tcBorders>
            <w:vAlign w:val="center"/>
            <w:hideMark/>
          </w:tcPr>
          <w:p w14:paraId="1585C58C" w14:textId="77777777" w:rsidR="00895D17" w:rsidRDefault="00895D17">
            <w:pPr>
              <w:jc w:val="center"/>
            </w:pPr>
            <w:r>
              <w:t>3</w:t>
            </w:r>
          </w:p>
        </w:tc>
        <w:tc>
          <w:tcPr>
            <w:tcW w:w="3235" w:type="dxa"/>
            <w:tcBorders>
              <w:top w:val="single" w:sz="4" w:space="0" w:color="auto"/>
              <w:left w:val="single" w:sz="4" w:space="0" w:color="auto"/>
              <w:bottom w:val="single" w:sz="4" w:space="0" w:color="auto"/>
              <w:right w:val="single" w:sz="4" w:space="0" w:color="auto"/>
            </w:tcBorders>
            <w:vAlign w:val="center"/>
            <w:hideMark/>
          </w:tcPr>
          <w:p w14:paraId="47F84C26" w14:textId="77777777" w:rsidR="00895D17" w:rsidRDefault="00895D17">
            <w:pPr>
              <w:jc w:val="center"/>
            </w:pPr>
            <w:r>
              <w:t>Expansion</w:t>
            </w:r>
          </w:p>
        </w:tc>
      </w:tr>
      <w:bookmarkEnd w:id="21"/>
    </w:tbl>
    <w:p w14:paraId="36B380B4" w14:textId="77777777" w:rsidR="00895D17" w:rsidRDefault="00895D17" w:rsidP="00895D17"/>
    <w:p w14:paraId="1F5D3AF5" w14:textId="77777777" w:rsidR="00895D17" w:rsidRDefault="00895D17" w:rsidP="00895D17">
      <w:r>
        <w:t>As described in the Feasibility Study, six fleet transition scenarios were developed for this study consistent with the previously described fleet transition plans:</w:t>
      </w:r>
    </w:p>
    <w:p w14:paraId="56AB7A02" w14:textId="77777777" w:rsidR="00895D17" w:rsidRDefault="00895D17" w:rsidP="00895D17">
      <w:pPr>
        <w:pStyle w:val="ListBullet"/>
      </w:pPr>
      <w:r>
        <w:t xml:space="preserve">Diesel: A 58 diesel bus fleet. This transition scenario used a baseline </w:t>
      </w:r>
      <w:proofErr w:type="gramStart"/>
      <w:r>
        <w:t>/ ”business</w:t>
      </w:r>
      <w:proofErr w:type="gramEnd"/>
      <w:r>
        <w:t>-as-usual” scenario for comparison.</w:t>
      </w:r>
    </w:p>
    <w:p w14:paraId="0B7470A0" w14:textId="77777777" w:rsidR="00895D17" w:rsidRDefault="00895D17" w:rsidP="00895D17">
      <w:pPr>
        <w:pStyle w:val="ListBullet"/>
      </w:pPr>
      <w:r>
        <w:t xml:space="preserve">CNG: A 58 CNG bus fleet powered by fossilized natural gas. </w:t>
      </w:r>
    </w:p>
    <w:p w14:paraId="0D11720F" w14:textId="77777777" w:rsidR="00895D17" w:rsidRDefault="00895D17" w:rsidP="00895D17">
      <w:pPr>
        <w:pStyle w:val="ListBullet"/>
      </w:pPr>
      <w:r>
        <w:t>RNG: A 58 CNG bus fleet powered by renewable natural gas from anerobic digestion of wastewater sludge.</w:t>
      </w:r>
    </w:p>
    <w:p w14:paraId="71516B4F" w14:textId="77777777" w:rsidR="00895D17" w:rsidRDefault="00895D17" w:rsidP="00895D17">
      <w:pPr>
        <w:pStyle w:val="ListBullet"/>
      </w:pPr>
      <w:r>
        <w:t>BEB: A 94 BEB bus fleet powered from the projected model of Charlottesville’s electric grid.</w:t>
      </w:r>
    </w:p>
    <w:p w14:paraId="5B8EA8F0" w14:textId="77777777" w:rsidR="00895D17" w:rsidRDefault="00895D17" w:rsidP="00895D17">
      <w:pPr>
        <w:pStyle w:val="ListBullet"/>
      </w:pPr>
      <w:r>
        <w:t xml:space="preserve">Green FCEB: </w:t>
      </w:r>
      <w:bookmarkStart w:id="22" w:name="OLE_LINK1"/>
      <w:r>
        <w:t>A 58 FCEB bus fleet fueled through hydrogen produced from an on-site refueling electrolysis station powered from the projected model of Charlottesville’s electric grid.</w:t>
      </w:r>
      <w:bookmarkEnd w:id="22"/>
    </w:p>
    <w:p w14:paraId="0AF3E71E" w14:textId="0508E49A" w:rsidR="00895D17" w:rsidRDefault="00895D17" w:rsidP="00895D17">
      <w:pPr>
        <w:pStyle w:val="ListBullet"/>
      </w:pPr>
      <w:r>
        <w:t>Gr</w:t>
      </w:r>
      <w:r w:rsidR="008B6DAD">
        <w:t>a</w:t>
      </w:r>
      <w:r>
        <w:t>y FCEB: A 58 FCEB bus fleet fueled through hydrogen produced from an off-site central Steam-Methane Reformation (SMR) plant.</w:t>
      </w:r>
    </w:p>
    <w:p w14:paraId="49F61AE7" w14:textId="77777777" w:rsidR="00895D17" w:rsidRDefault="00895D17" w:rsidP="00895D17">
      <w:r>
        <w:t xml:space="preserve">A 58-bus fleet was used as the baseline for CAT’s fleet size. The replacement ratio – the number of alternative fueled buses needed to replace one diesel bus – was based on CAT’s planned operational blocks for their service improvements under the CAT Service Optimization Plan. The total daily mileage for each block was calculated and then compared to the ranges of the alternative fueled buses (diesel buses were used as a baseline comparison and thus were not used in the analysis). </w:t>
      </w:r>
    </w:p>
    <w:p w14:paraId="0172E1D2" w14:textId="77777777" w:rsidR="00895D17" w:rsidRDefault="00895D17" w:rsidP="00895D17">
      <w:r>
        <w:t xml:space="preserve">Natural gas buses and FCEBs have ranges of 300 miles with little to no range reduction due to external factors and could complete all of CAT’s planned operational blocks. The four transition scenarios using either natural gas buses or FCEBs were given a 1:1 replacement ratio. As of Spring 2023, the smaller BEBs on the market (29’ to 35’) had a higher end stated range of 225 miles; this was used as the planning estimate for the replacement ratio to account for potential improvements to BEB range capabilities. Industry standard planning estimates calculate the operational range of BEBs as 30%-40% of their stated range due to BEBs’ susceptibility of range reduction due to external factors such as cold weather. As a conservative estimate, the 225-mile range was reduced by 40% to 135-miles which resulted in BEBs failing to complete 61.5% of the blocks. The BEB transition scenario was given a replacement ratio of 1:1.615 which when applied to a 58-bus fleet, resulted in the BEB transition scenario having a 94-bus fleet. Mixed-fueled fleets and charging/fueling techniques such as on-route fast charging have the ability of reducing the number of additional BEBs needed, but mono-fueled bus transition scenarios fueled only through the depot was used for planning and comparison purposes. </w:t>
      </w:r>
    </w:p>
    <w:p w14:paraId="2F4DD6DC" w14:textId="09B385A9" w:rsidR="00895D17" w:rsidRDefault="00895D17" w:rsidP="00895D17">
      <w:r>
        <w:t>Results for the full six scenarios were only displayed for GHG emissions. The Green FCEB and Gr</w:t>
      </w:r>
      <w:r w:rsidR="00081F43">
        <w:t>a</w:t>
      </w:r>
      <w:r>
        <w:t>y FCEB transition scenarios and the CNG and RNG transition scenarios had the same emissions for non-GHG measured pollutants and thus were displayed as FCEB and CNG/RNG, respectively, to improve the legibility of the results.</w:t>
      </w:r>
    </w:p>
    <w:p w14:paraId="583877C9" w14:textId="14A9DDD3" w:rsidR="00895D17" w:rsidRDefault="00895D17" w:rsidP="00895D17">
      <w:pPr>
        <w:pStyle w:val="Heading2"/>
      </w:pPr>
      <w:r>
        <w:rPr>
          <w:noProof/>
        </w:rPr>
        <w:drawing>
          <wp:anchor distT="0" distB="0" distL="114300" distR="114300" simplePos="0" relativeHeight="251657216" behindDoc="0" locked="0" layoutInCell="1" allowOverlap="1" wp14:anchorId="3476D79F" wp14:editId="2CB2F79B">
            <wp:simplePos x="0" y="0"/>
            <wp:positionH relativeFrom="margin">
              <wp:posOffset>3336290</wp:posOffset>
            </wp:positionH>
            <wp:positionV relativeFrom="margin">
              <wp:posOffset>2670810</wp:posOffset>
            </wp:positionV>
            <wp:extent cx="3468370" cy="3029585"/>
            <wp:effectExtent l="0" t="0" r="17780" b="1841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bookmarkStart w:id="23" w:name="_Ref133821397"/>
      <w:bookmarkStart w:id="24" w:name="_Toc134183723"/>
      <w:bookmarkEnd w:id="23"/>
      <w:r>
        <w:t>Electric Grid Assumptions</w:t>
      </w:r>
      <w:bookmarkEnd w:id="24"/>
      <w:r>
        <w:t xml:space="preserve"> </w:t>
      </w:r>
    </w:p>
    <w:p w14:paraId="09583267" w14:textId="77777777" w:rsidR="00895D17" w:rsidRDefault="00895D17" w:rsidP="00895D17">
      <w:r>
        <w:t xml:space="preserve">AFLEET allows for users to define the electric grid based on six power sources: </w:t>
      </w:r>
    </w:p>
    <w:p w14:paraId="17924315" w14:textId="77777777" w:rsidR="00895D17" w:rsidRDefault="00895D17" w:rsidP="00895D17">
      <w:pPr>
        <w:pStyle w:val="ListBullet"/>
      </w:pPr>
      <w:r>
        <w:t xml:space="preserve">residual oil </w:t>
      </w:r>
    </w:p>
    <w:p w14:paraId="61242FCE" w14:textId="77777777" w:rsidR="00895D17" w:rsidRDefault="00895D17" w:rsidP="00895D17">
      <w:pPr>
        <w:pStyle w:val="ListBullet"/>
      </w:pPr>
      <w:r>
        <w:t xml:space="preserve">natural gas </w:t>
      </w:r>
    </w:p>
    <w:p w14:paraId="444ACDFF" w14:textId="77777777" w:rsidR="00895D17" w:rsidRDefault="00895D17" w:rsidP="00895D17">
      <w:pPr>
        <w:pStyle w:val="ListBullet"/>
      </w:pPr>
      <w:r>
        <w:t xml:space="preserve">coal </w:t>
      </w:r>
    </w:p>
    <w:p w14:paraId="04CD9984" w14:textId="77777777" w:rsidR="00895D17" w:rsidRDefault="00895D17" w:rsidP="00895D17">
      <w:pPr>
        <w:pStyle w:val="ListBullet"/>
      </w:pPr>
      <w:r>
        <w:t xml:space="preserve">nuclear power </w:t>
      </w:r>
    </w:p>
    <w:p w14:paraId="5E870351" w14:textId="77777777" w:rsidR="00895D17" w:rsidRDefault="00895D17" w:rsidP="00895D17">
      <w:pPr>
        <w:pStyle w:val="ListBullet"/>
      </w:pPr>
      <w:r>
        <w:t xml:space="preserve">biomass </w:t>
      </w:r>
    </w:p>
    <w:p w14:paraId="7C971443" w14:textId="77777777" w:rsidR="00895D17" w:rsidRDefault="00895D17" w:rsidP="00895D17">
      <w:pPr>
        <w:pStyle w:val="ListBullet"/>
      </w:pPr>
      <w:r>
        <w:t xml:space="preserve">renewable energy (wind, solar, hydroelectric, etc.) </w:t>
      </w:r>
    </w:p>
    <w:p w14:paraId="4AF14660" w14:textId="77777777" w:rsidR="00895D17" w:rsidRDefault="00895D17" w:rsidP="00895D17">
      <w:r>
        <w:t xml:space="preserve">Based on data collected from the Energy Information Administration for the Commonwealth of Virginia’s 2022 utility scale facility net generation estimates, the electrical gird composition for the base year was: </w:t>
      </w:r>
    </w:p>
    <w:p w14:paraId="2525AA6B" w14:textId="77777777" w:rsidR="00895D17" w:rsidRDefault="00895D17" w:rsidP="00895D17">
      <w:pPr>
        <w:pStyle w:val="ListBullet"/>
      </w:pPr>
      <w:r>
        <w:t xml:space="preserve">8.6% renewables </w:t>
      </w:r>
    </w:p>
    <w:p w14:paraId="310780AC" w14:textId="77777777" w:rsidR="00895D17" w:rsidRDefault="00895D17" w:rsidP="00895D17">
      <w:pPr>
        <w:pStyle w:val="ListBullet"/>
      </w:pPr>
      <w:r>
        <w:t xml:space="preserve">29.9% nuclear </w:t>
      </w:r>
    </w:p>
    <w:p w14:paraId="07E00A00" w14:textId="37ED98F3" w:rsidR="00895D17" w:rsidRDefault="00895D17" w:rsidP="00895D17">
      <w:pPr>
        <w:pStyle w:val="ListBullet"/>
      </w:pPr>
      <w:r>
        <w:rPr>
          <w:noProof/>
        </w:rPr>
        <mc:AlternateContent>
          <mc:Choice Requires="wps">
            <w:drawing>
              <wp:anchor distT="0" distB="0" distL="114300" distR="114300" simplePos="0" relativeHeight="251658240" behindDoc="0" locked="0" layoutInCell="1" allowOverlap="1" wp14:anchorId="4E3ACF58" wp14:editId="095FB69F">
                <wp:simplePos x="0" y="0"/>
                <wp:positionH relativeFrom="column">
                  <wp:posOffset>3342640</wp:posOffset>
                </wp:positionH>
                <wp:positionV relativeFrom="paragraph">
                  <wp:posOffset>85725</wp:posOffset>
                </wp:positionV>
                <wp:extent cx="3459480" cy="182880"/>
                <wp:effectExtent l="0" t="0" r="7620" b="7620"/>
                <wp:wrapSquare wrapText="bothSides"/>
                <wp:docPr id="9" name="Text Box 9"/>
                <wp:cNvGraphicFramePr/>
                <a:graphic xmlns:a="http://schemas.openxmlformats.org/drawingml/2006/main">
                  <a:graphicData uri="http://schemas.microsoft.com/office/word/2010/wordprocessingShape">
                    <wps:wsp>
                      <wps:cNvSpPr txBox="1"/>
                      <wps:spPr>
                        <a:xfrm>
                          <a:off x="0" y="0"/>
                          <a:ext cx="3459480" cy="182880"/>
                        </a:xfrm>
                        <a:prstGeom prst="rect">
                          <a:avLst/>
                        </a:prstGeom>
                        <a:solidFill>
                          <a:prstClr val="white"/>
                        </a:solidFill>
                        <a:ln>
                          <a:noFill/>
                        </a:ln>
                      </wps:spPr>
                      <wps:txbx>
                        <w:txbxContent>
                          <w:p w14:paraId="19BCF9F3" w14:textId="77777777" w:rsidR="00895D17" w:rsidRDefault="00895D17" w:rsidP="00895D17">
                            <w:pPr>
                              <w:pStyle w:val="Caption"/>
                              <w:rPr>
                                <w:noProof/>
                              </w:rPr>
                            </w:pPr>
                            <w:bookmarkStart w:id="25" w:name="_Toc134183737"/>
                            <w:r>
                              <w:t xml:space="preserve">Figure </w:t>
                            </w:r>
                            <w:r>
                              <w:fldChar w:fldCharType="begin"/>
                            </w:r>
                            <w:r>
                              <w:instrText xml:space="preserve"> SEQ Figure \* ARABIC </w:instrText>
                            </w:r>
                            <w:r>
                              <w:fldChar w:fldCharType="separate"/>
                            </w:r>
                            <w:r>
                              <w:rPr>
                                <w:noProof/>
                              </w:rPr>
                              <w:t>2</w:t>
                            </w:r>
                            <w:r>
                              <w:fldChar w:fldCharType="end"/>
                            </w:r>
                            <w:r>
                              <w:t>: Charlottesville Electric Grid Energy Sources, US EIA 2022</w:t>
                            </w:r>
                            <w:bookmarkEnd w:id="25"/>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ACF58" id="_x0000_t202" coordsize="21600,21600" o:spt="202" path="m,l,21600r21600,l21600,xe">
                <v:stroke joinstyle="miter"/>
                <v:path gradientshapeok="t" o:connecttype="rect"/>
              </v:shapetype>
              <v:shape id="Text Box 9" o:spid="_x0000_s1026" type="#_x0000_t202" style="position:absolute;left:0;text-align:left;margin-left:263.2pt;margin-top:6.75pt;width:272.4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" stroked="f">
                <v:textbox inset="0,0,0,0">
                  <w:txbxContent>
                    <w:p w14:paraId="19BCF9F3" w14:textId="77777777" w:rsidR="00895D17" w:rsidRDefault="00895D17" w:rsidP="00895D17">
                      <w:pPr>
                        <w:pStyle w:val="Caption"/>
                        <w:rPr>
                          <w:noProof/>
                        </w:rPr>
                      </w:pPr>
                      <w:bookmarkStart w:id="26" w:name="_Toc134183737"/>
                      <w:r>
                        <w:t xml:space="preserve">Figure </w:t>
                      </w:r>
                      <w:r>
                        <w:fldChar w:fldCharType="begin"/>
                      </w:r>
                      <w:r>
                        <w:instrText xml:space="preserve"> SEQ Figure \* ARABIC </w:instrText>
                      </w:r>
                      <w:r>
                        <w:fldChar w:fldCharType="separate"/>
                      </w:r>
                      <w:r>
                        <w:rPr>
                          <w:noProof/>
                        </w:rPr>
                        <w:t>2</w:t>
                      </w:r>
                      <w:r>
                        <w:fldChar w:fldCharType="end"/>
                      </w:r>
                      <w:r>
                        <w:t>: Charlottesville Electric Grid Energy Sources, US EIA 2022</w:t>
                      </w:r>
                      <w:bookmarkEnd w:id="26"/>
                    </w:p>
                  </w:txbxContent>
                </v:textbox>
                <w10:wrap type="square"/>
              </v:shape>
            </w:pict>
          </mc:Fallback>
        </mc:AlternateContent>
      </w:r>
      <w:r>
        <w:t xml:space="preserve">0.2% residual oil </w:t>
      </w:r>
    </w:p>
    <w:p w14:paraId="38EC485D" w14:textId="77777777" w:rsidR="00895D17" w:rsidRDefault="00895D17" w:rsidP="00895D17">
      <w:pPr>
        <w:pStyle w:val="ListBullet"/>
      </w:pPr>
      <w:r>
        <w:t xml:space="preserve">2.2% coal </w:t>
      </w:r>
    </w:p>
    <w:p w14:paraId="5BA0F19F" w14:textId="77777777" w:rsidR="00895D17" w:rsidRDefault="00895D17" w:rsidP="00895D17">
      <w:pPr>
        <w:pStyle w:val="ListBullet"/>
      </w:pPr>
      <w:r>
        <w:t xml:space="preserve">0.4% biomass </w:t>
      </w:r>
    </w:p>
    <w:p w14:paraId="486258CC" w14:textId="77777777" w:rsidR="00895D17" w:rsidRDefault="00895D17" w:rsidP="00895D17">
      <w:pPr>
        <w:pStyle w:val="ListBullet"/>
      </w:pPr>
      <w:r>
        <w:t xml:space="preserve">58.7% natural gas </w:t>
      </w:r>
    </w:p>
    <w:p w14:paraId="7FF5637F" w14:textId="77777777" w:rsidR="00895D17" w:rsidRDefault="00895D17" w:rsidP="00895D17">
      <w:r>
        <w:t>The changing composition of Virginia’s electric grid composition was based on two state-wide energy production objectives: 30% of Virginia’s electrical power will be from renewable sources by 2030 and 100% of Virginia’s electricity will be produced from carbon-free sources by 2050. The first goal was set by Dominion Energy, while the latter goal was set in law through the 2020 Virginia Clean Economy Act. Nuclear power was specified as a carbon free source by the Virginia Department of Environmental Quality, so the percentage of the grid from nuclear power was counted towards the 2050 carbon-neutral goal but not towards the 2030 30% renewable source’s goal.</w:t>
      </w:r>
    </w:p>
    <w:p w14:paraId="03F6F3BB" w14:textId="77777777" w:rsidR="00895D17" w:rsidRDefault="00895D17" w:rsidP="00895D17">
      <w:r>
        <w:t xml:space="preserve">As Virginia’s grid composition was 8.6% renewable energy in the base year, this study assumes the percentage of renewable energy increases linearly by 2.68% each year until the grid’s composition of renewable energy hit 30% in 2030. The composition of renewable energy is then assumed to increase linearly by 2.01% each year until the composition of renewable energy hit 70.1% in 2050. For projection purposes, the composition of nuclear energy was kept constant at 29.9% for each year. As the composition of renewable energy increased, the composition of non-renewable/carbon emitting sources were decreased by one source at a time. The carbon emitting sources were decreased in the following order based on how prevalent the respective sources were in Virginia at the base year with the less prevalent sources being decreased first: </w:t>
      </w:r>
    </w:p>
    <w:p w14:paraId="33F0F253" w14:textId="77777777" w:rsidR="00895D17" w:rsidRDefault="00895D17" w:rsidP="00895D17">
      <w:pPr>
        <w:pStyle w:val="ListBullet"/>
      </w:pPr>
      <w:r>
        <w:t xml:space="preserve">residual oil </w:t>
      </w:r>
    </w:p>
    <w:p w14:paraId="3D8D2621" w14:textId="77777777" w:rsidR="00895D17" w:rsidRDefault="00895D17" w:rsidP="00895D17">
      <w:pPr>
        <w:pStyle w:val="ListBullet"/>
      </w:pPr>
      <w:r>
        <w:t xml:space="preserve">biomass </w:t>
      </w:r>
    </w:p>
    <w:p w14:paraId="6AFCA0DE" w14:textId="77777777" w:rsidR="00895D17" w:rsidRDefault="00895D17" w:rsidP="00895D17">
      <w:pPr>
        <w:pStyle w:val="ListBullet"/>
      </w:pPr>
      <w:r>
        <w:t xml:space="preserve">coal </w:t>
      </w:r>
    </w:p>
    <w:p w14:paraId="78B45F87" w14:textId="77777777" w:rsidR="00895D17" w:rsidRDefault="00895D17" w:rsidP="00895D17">
      <w:pPr>
        <w:pStyle w:val="ListBullet"/>
      </w:pPr>
      <w:r>
        <w:t xml:space="preserve">natural gas </w:t>
      </w:r>
    </w:p>
    <w:p w14:paraId="3AC1BA0D" w14:textId="77777777" w:rsidR="00895D17" w:rsidRDefault="00895D17" w:rsidP="00895D17">
      <w:pPr>
        <w:pStyle w:val="Heading2"/>
      </w:pPr>
      <w:bookmarkStart w:id="27" w:name="_Toc134183724"/>
      <w:r>
        <w:t>Renewable Natural Gas Assumptions</w:t>
      </w:r>
      <w:bookmarkEnd w:id="27"/>
    </w:p>
    <w:p w14:paraId="350B4FE0" w14:textId="6864D80C" w:rsidR="00895D17" w:rsidRDefault="00895D17" w:rsidP="00895D17">
      <w:r>
        <w:t xml:space="preserve">Note that results in the following section(s) indicate CAT’s fleet producing </w:t>
      </w:r>
      <w:r>
        <w:rPr>
          <w:i/>
          <w:iCs/>
        </w:rPr>
        <w:t>negative</w:t>
      </w:r>
      <w:r>
        <w:t xml:space="preserve"> greenhouse gas emissions between the years of 2037 and 2050 for the RNG scenario. This </w:t>
      </w:r>
      <w:proofErr w:type="gramStart"/>
      <w:r>
        <w:t>period of time</w:t>
      </w:r>
      <w:proofErr w:type="gramEnd"/>
      <w:r>
        <w:t xml:space="preserve"> indicates when CAT’s fleet is projected to be mainly or entirely comprised of CNG vehicles fueled with RNG (or the use of municipal natural gas and the purchase of equivalent carbon offset credits</w:t>
      </w:r>
      <w:r w:rsidR="009B2DDB">
        <w:t>, or some other decarbonization strategy</w:t>
      </w:r>
      <w:r>
        <w:t xml:space="preserve">). </w:t>
      </w:r>
    </w:p>
    <w:p w14:paraId="0E042556" w14:textId="18A85E9A" w:rsidR="00895D17" w:rsidRDefault="00895D17" w:rsidP="00895D17">
      <w:r>
        <w:t xml:space="preserve">The AFLEET tool follows national emission standards and current industry practice which considers RNG fuel to have negative emissions. RNG fuel is comprised of natural gases produced through means other than fossilized mining (i.e., animal manure, wastewater sludge, landfill emissions, etc.). Instead of releasing these gases directly into the atmosphere, they </w:t>
      </w:r>
      <w:proofErr w:type="gramStart"/>
      <w:r>
        <w:t>are considered to be</w:t>
      </w:r>
      <w:proofErr w:type="gramEnd"/>
      <w:r>
        <w:t xml:space="preserve"> captured </w:t>
      </w:r>
      <w:r w:rsidR="009B2DDB">
        <w:t xml:space="preserve">and </w:t>
      </w:r>
      <w:r>
        <w:t>then combusted as fuel. The negative value comes from the fact that methane (the principal element of natural gas) is nearly 25 times more potent than carbon dioxide as a greenhouse gas; as such, combusting RNG lowers the potential of that methane to impact global climate. While this reduces the impact of greenhouse gas on the global climate, the combustion and use of RNG fuel produces nearly identical tailpipe emissions to the combustion and use of non-renewable natural gas fuel. As such, an RNG fleet will still produce tailpipe emissions including particulates, volatile organic compounds, sulfur oxides, nitrous oxides, and carbon dioxide.</w:t>
      </w:r>
    </w:p>
    <w:p w14:paraId="5019095E" w14:textId="77777777" w:rsidR="00895D17" w:rsidRDefault="00895D17" w:rsidP="00895D17">
      <w:pPr>
        <w:pStyle w:val="Heading1"/>
      </w:pPr>
      <w:bookmarkStart w:id="28" w:name="_Toc134183725"/>
      <w:r>
        <w:t>Analysis</w:t>
      </w:r>
      <w:bookmarkEnd w:id="28"/>
    </w:p>
    <w:p w14:paraId="6B892CAB" w14:textId="77777777" w:rsidR="00895D17" w:rsidRDefault="00895D17" w:rsidP="00895D17">
      <w:r>
        <w:t xml:space="preserve">The AFLEET model was populated with the </w:t>
      </w:r>
      <w:proofErr w:type="gramStart"/>
      <w:r>
        <w:t>aforementioned CAT</w:t>
      </w:r>
      <w:proofErr w:type="gramEnd"/>
      <w:r>
        <w:t xml:space="preserve"> fleet data and modified to accommodate the change in electric grid feedstock. Then, emissions were projected from the base year through 2050. The results of the GHG analysis are shown in </w:t>
      </w:r>
      <w:r>
        <w:rPr>
          <w:b/>
          <w:bCs/>
        </w:rPr>
        <w:fldChar w:fldCharType="begin"/>
      </w:r>
      <w:r>
        <w:rPr>
          <w:b/>
          <w:bCs/>
        </w:rPr>
        <w:instrText xml:space="preserve"> REF _Ref134162975 \h  \* MERGEFORMAT </w:instrText>
      </w:r>
      <w:r>
        <w:rPr>
          <w:b/>
          <w:bCs/>
        </w:rPr>
      </w:r>
      <w:r>
        <w:rPr>
          <w:b/>
          <w:bCs/>
        </w:rPr>
        <w:fldChar w:fldCharType="separate"/>
      </w:r>
      <w:r>
        <w:rPr>
          <w:b/>
          <w:bCs/>
        </w:rPr>
        <w:t xml:space="preserve">Figure </w:t>
      </w:r>
      <w:r>
        <w:rPr>
          <w:b/>
          <w:bCs/>
          <w:noProof/>
        </w:rPr>
        <w:t>3</w:t>
      </w:r>
      <w:r>
        <w:rPr>
          <w:b/>
          <w:bCs/>
        </w:rPr>
        <w:fldChar w:fldCharType="end"/>
      </w:r>
      <w:r>
        <w:t xml:space="preserve"> with a tabulation indicating the percent reduction from the base year shown in </w:t>
      </w:r>
      <w:r>
        <w:rPr>
          <w:b/>
          <w:bCs/>
        </w:rPr>
        <w:fldChar w:fldCharType="begin"/>
      </w:r>
      <w:r>
        <w:rPr>
          <w:b/>
          <w:bCs/>
        </w:rPr>
        <w:instrText xml:space="preserve"> REF _Ref134163045 \h  \* MERGEFORMAT </w:instrText>
      </w:r>
      <w:r>
        <w:rPr>
          <w:b/>
          <w:bCs/>
        </w:rPr>
      </w:r>
      <w:r>
        <w:rPr>
          <w:b/>
          <w:bCs/>
        </w:rPr>
        <w:fldChar w:fldCharType="separate"/>
      </w:r>
      <w:r>
        <w:rPr>
          <w:b/>
          <w:bCs/>
        </w:rPr>
        <w:t xml:space="preserve">Table </w:t>
      </w:r>
      <w:r>
        <w:rPr>
          <w:b/>
          <w:bCs/>
          <w:noProof/>
        </w:rPr>
        <w:t>4</w:t>
      </w:r>
      <w:r>
        <w:rPr>
          <w:b/>
          <w:bCs/>
        </w:rPr>
        <w:fldChar w:fldCharType="end"/>
      </w:r>
      <w:r>
        <w:t xml:space="preserve">. Carbon monoxide emissions are shown in </w:t>
      </w:r>
      <w:r>
        <w:rPr>
          <w:b/>
          <w:bCs/>
        </w:rPr>
        <w:fldChar w:fldCharType="begin"/>
      </w:r>
      <w:r>
        <w:rPr>
          <w:b/>
          <w:bCs/>
        </w:rPr>
        <w:instrText xml:space="preserve"> REF _Ref134163065 \h  \* MERGEFORMAT </w:instrText>
      </w:r>
      <w:r>
        <w:rPr>
          <w:b/>
          <w:bCs/>
        </w:rPr>
      </w:r>
      <w:r>
        <w:rPr>
          <w:b/>
          <w:bCs/>
        </w:rPr>
        <w:fldChar w:fldCharType="separate"/>
      </w:r>
      <w:r>
        <w:rPr>
          <w:b/>
          <w:bCs/>
        </w:rPr>
        <w:t xml:space="preserve">Figure </w:t>
      </w:r>
      <w:r>
        <w:rPr>
          <w:b/>
          <w:bCs/>
          <w:noProof/>
        </w:rPr>
        <w:t>4</w:t>
      </w:r>
      <w:r>
        <w:rPr>
          <w:b/>
          <w:bCs/>
        </w:rPr>
        <w:fldChar w:fldCharType="end"/>
      </w:r>
      <w:r>
        <w:t xml:space="preserve">. Resulting emissions of all other pollutants are shown in </w:t>
      </w:r>
      <w:r>
        <w:rPr>
          <w:b/>
          <w:bCs/>
        </w:rPr>
        <w:fldChar w:fldCharType="begin"/>
      </w:r>
      <w:r>
        <w:rPr>
          <w:b/>
          <w:bCs/>
        </w:rPr>
        <w:instrText xml:space="preserve"> REF _Ref134163079 \h  \* MERGEFORMAT </w:instrText>
      </w:r>
      <w:r>
        <w:rPr>
          <w:b/>
          <w:bCs/>
        </w:rPr>
      </w:r>
      <w:r>
        <w:rPr>
          <w:b/>
          <w:bCs/>
        </w:rPr>
        <w:fldChar w:fldCharType="separate"/>
      </w:r>
      <w:r>
        <w:rPr>
          <w:b/>
          <w:bCs/>
        </w:rPr>
        <w:t xml:space="preserve">Figure </w:t>
      </w:r>
      <w:r>
        <w:rPr>
          <w:b/>
          <w:bCs/>
          <w:noProof/>
        </w:rPr>
        <w:t>5</w:t>
      </w:r>
      <w:r>
        <w:rPr>
          <w:b/>
          <w:bCs/>
        </w:rPr>
        <w:fldChar w:fldCharType="end"/>
      </w:r>
      <w:r>
        <w:t>.</w:t>
      </w:r>
    </w:p>
    <w:p w14:paraId="388891D4" w14:textId="77777777" w:rsidR="001C3B8A" w:rsidRDefault="001C3B8A" w:rsidP="001C3B8A">
      <w:pPr>
        <w:pStyle w:val="Caption"/>
        <w:keepNext/>
        <w:jc w:val="center"/>
      </w:pPr>
      <w:bookmarkStart w:id="29" w:name="_Ref134162975"/>
      <w:bookmarkStart w:id="30" w:name="_Toc134183738"/>
      <w:r>
        <w:t xml:space="preserve">Figure </w:t>
      </w:r>
      <w:r>
        <w:fldChar w:fldCharType="begin"/>
      </w:r>
      <w:r>
        <w:instrText xml:space="preserve"> SEQ Figure \* ARABIC </w:instrText>
      </w:r>
      <w:r>
        <w:fldChar w:fldCharType="separate"/>
      </w:r>
      <w:r>
        <w:rPr>
          <w:noProof/>
        </w:rPr>
        <w:t>3</w:t>
      </w:r>
      <w:r>
        <w:rPr>
          <w:noProof/>
        </w:rPr>
        <w:fldChar w:fldCharType="end"/>
      </w:r>
      <w:bookmarkEnd w:id="29"/>
      <w:r>
        <w:t xml:space="preserve">: </w:t>
      </w:r>
      <w:r w:rsidRPr="0026571B">
        <w:t>GHG Emissions of Transition Scenarios (Base – 2050)</w:t>
      </w:r>
      <w:bookmarkEnd w:id="30"/>
    </w:p>
    <w:p w14:paraId="6A4F52F8" w14:textId="77777777" w:rsidR="001C3B8A" w:rsidRPr="000D2B0E" w:rsidRDefault="001C3B8A" w:rsidP="001C3B8A">
      <w:pPr>
        <w:jc w:val="center"/>
        <w:rPr>
          <w:rStyle w:val="Emphasis"/>
          <w:b w:val="0"/>
        </w:rPr>
      </w:pPr>
      <w:r>
        <w:rPr>
          <w:noProof/>
        </w:rPr>
        <w:drawing>
          <wp:inline distT="0" distB="0" distL="0" distR="0" wp14:anchorId="39A992DB" wp14:editId="588528CC">
            <wp:extent cx="6410325" cy="3705225"/>
            <wp:effectExtent l="0" t="0" r="9525" b="9525"/>
            <wp:docPr id="4" name="Chart 4">
              <a:extLst xmlns:a="http://schemas.openxmlformats.org/drawingml/2006/main">
                <a:ext uri="{FF2B5EF4-FFF2-40B4-BE49-F238E27FC236}">
                  <a16:creationId xmlns:a16="http://schemas.microsoft.com/office/drawing/2014/main" id="{1D16B500-DC82-0245-F32B-6732EE823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2EF5F3" w14:textId="77777777" w:rsidR="001C3B8A" w:rsidRDefault="001C3B8A" w:rsidP="001C3B8A">
      <w:pPr>
        <w:pStyle w:val="Caption"/>
        <w:jc w:val="center"/>
      </w:pPr>
      <w:bookmarkStart w:id="31" w:name="_Ref134163045"/>
      <w:bookmarkStart w:id="32" w:name="_Toc134183745"/>
      <w:r>
        <w:t xml:space="preserve">Table </w:t>
      </w:r>
      <w:r>
        <w:fldChar w:fldCharType="begin"/>
      </w:r>
      <w:r>
        <w:instrText xml:space="preserve"> SEQ Table \* ARABIC </w:instrText>
      </w:r>
      <w:r>
        <w:fldChar w:fldCharType="separate"/>
      </w:r>
      <w:r>
        <w:rPr>
          <w:noProof/>
        </w:rPr>
        <w:t>4</w:t>
      </w:r>
      <w:r>
        <w:rPr>
          <w:noProof/>
        </w:rPr>
        <w:fldChar w:fldCharType="end"/>
      </w:r>
      <w:bookmarkEnd w:id="31"/>
      <w:r>
        <w:t xml:space="preserve">: </w:t>
      </w:r>
      <w:r w:rsidRPr="00DD27D9">
        <w:t>GHG Emissions and Reductions</w:t>
      </w:r>
      <w:bookmarkEnd w:id="32"/>
    </w:p>
    <w:tbl>
      <w:tblPr>
        <w:tblStyle w:val="TableGrid"/>
        <w:tblW w:w="0" w:type="auto"/>
        <w:tblInd w:w="0" w:type="dxa"/>
        <w:tblLook w:val="04A0" w:firstRow="1" w:lastRow="0" w:firstColumn="1" w:lastColumn="0" w:noHBand="0" w:noVBand="1"/>
      </w:tblPr>
      <w:tblGrid>
        <w:gridCol w:w="2158"/>
        <w:gridCol w:w="2158"/>
        <w:gridCol w:w="2158"/>
        <w:gridCol w:w="2158"/>
        <w:gridCol w:w="2158"/>
      </w:tblGrid>
      <w:tr w:rsidR="001C3B8A" w14:paraId="0E6EBE09" w14:textId="77777777" w:rsidTr="00D659F1">
        <w:tc>
          <w:tcPr>
            <w:tcW w:w="2158" w:type="dxa"/>
            <w:vMerge w:val="restart"/>
            <w:shd w:val="clear" w:color="auto" w:fill="2C3C77" w:themeFill="accent1"/>
          </w:tcPr>
          <w:p w14:paraId="249E1670" w14:textId="77777777" w:rsidR="001C3B8A" w:rsidRPr="003A387F" w:rsidRDefault="001C3B8A" w:rsidP="00D659F1">
            <w:pPr>
              <w:jc w:val="center"/>
              <w:rPr>
                <w:b/>
                <w:bCs/>
                <w:color w:val="FFFFFF" w:themeColor="background1"/>
              </w:rPr>
            </w:pPr>
          </w:p>
        </w:tc>
        <w:tc>
          <w:tcPr>
            <w:tcW w:w="4316" w:type="dxa"/>
            <w:gridSpan w:val="2"/>
            <w:shd w:val="clear" w:color="auto" w:fill="2C3C77" w:themeFill="accent1"/>
            <w:vAlign w:val="center"/>
          </w:tcPr>
          <w:p w14:paraId="5FCF9224" w14:textId="77777777" w:rsidR="001C3B8A" w:rsidRPr="003A387F" w:rsidRDefault="001C3B8A" w:rsidP="00D659F1">
            <w:pPr>
              <w:jc w:val="center"/>
              <w:rPr>
                <w:b/>
                <w:bCs/>
                <w:color w:val="FFFFFF" w:themeColor="background1"/>
              </w:rPr>
            </w:pPr>
            <w:r>
              <w:rPr>
                <w:b/>
                <w:bCs/>
                <w:color w:val="FFFFFF" w:themeColor="background1"/>
              </w:rPr>
              <w:t>2030</w:t>
            </w:r>
          </w:p>
        </w:tc>
        <w:tc>
          <w:tcPr>
            <w:tcW w:w="4316" w:type="dxa"/>
            <w:gridSpan w:val="2"/>
            <w:shd w:val="clear" w:color="auto" w:fill="2C3C77" w:themeFill="accent1"/>
            <w:vAlign w:val="center"/>
          </w:tcPr>
          <w:p w14:paraId="392653EF" w14:textId="77777777" w:rsidR="001C3B8A" w:rsidRPr="003A387F" w:rsidRDefault="001C3B8A" w:rsidP="00D659F1">
            <w:pPr>
              <w:jc w:val="center"/>
              <w:rPr>
                <w:b/>
                <w:bCs/>
                <w:color w:val="FFFFFF" w:themeColor="background1"/>
              </w:rPr>
            </w:pPr>
            <w:r>
              <w:rPr>
                <w:b/>
                <w:bCs/>
                <w:color w:val="FFFFFF" w:themeColor="background1"/>
              </w:rPr>
              <w:t>2050</w:t>
            </w:r>
          </w:p>
        </w:tc>
      </w:tr>
      <w:tr w:rsidR="001C3B8A" w14:paraId="0D14F962" w14:textId="77777777" w:rsidTr="00D659F1">
        <w:tc>
          <w:tcPr>
            <w:tcW w:w="2158" w:type="dxa"/>
            <w:vMerge/>
            <w:shd w:val="clear" w:color="auto" w:fill="2C3C77" w:themeFill="accent1"/>
          </w:tcPr>
          <w:p w14:paraId="497D1A50" w14:textId="77777777" w:rsidR="001C3B8A" w:rsidRPr="003A387F" w:rsidRDefault="001C3B8A" w:rsidP="00D659F1">
            <w:pPr>
              <w:jc w:val="center"/>
              <w:rPr>
                <w:b/>
                <w:bCs/>
                <w:color w:val="FFFFFF" w:themeColor="background1"/>
              </w:rPr>
            </w:pPr>
          </w:p>
        </w:tc>
        <w:tc>
          <w:tcPr>
            <w:tcW w:w="2158" w:type="dxa"/>
            <w:shd w:val="clear" w:color="auto" w:fill="2C3C77" w:themeFill="accent1"/>
            <w:vAlign w:val="center"/>
          </w:tcPr>
          <w:p w14:paraId="5F674DFF" w14:textId="77777777" w:rsidR="001C3B8A" w:rsidRPr="003A387F" w:rsidRDefault="001C3B8A" w:rsidP="00D659F1">
            <w:pPr>
              <w:jc w:val="center"/>
              <w:rPr>
                <w:b/>
                <w:bCs/>
                <w:color w:val="FFFFFF" w:themeColor="background1"/>
              </w:rPr>
            </w:pPr>
            <w:r>
              <w:rPr>
                <w:b/>
                <w:bCs/>
                <w:color w:val="FFFFFF" w:themeColor="background1"/>
              </w:rPr>
              <w:t>GHG Emissions (Short Tones)</w:t>
            </w:r>
          </w:p>
        </w:tc>
        <w:tc>
          <w:tcPr>
            <w:tcW w:w="2158" w:type="dxa"/>
            <w:shd w:val="clear" w:color="auto" w:fill="2C3C77" w:themeFill="accent1"/>
            <w:vAlign w:val="center"/>
          </w:tcPr>
          <w:p w14:paraId="19280ECC" w14:textId="77777777" w:rsidR="001C3B8A" w:rsidRPr="003A387F" w:rsidRDefault="001C3B8A" w:rsidP="00D659F1">
            <w:pPr>
              <w:jc w:val="center"/>
              <w:rPr>
                <w:b/>
                <w:bCs/>
                <w:color w:val="FFFFFF" w:themeColor="background1"/>
              </w:rPr>
            </w:pPr>
            <w:r w:rsidRPr="003A387F">
              <w:rPr>
                <w:b/>
                <w:bCs/>
                <w:color w:val="FFFFFF" w:themeColor="background1"/>
              </w:rPr>
              <w:t>% Reduction</w:t>
            </w:r>
          </w:p>
        </w:tc>
        <w:tc>
          <w:tcPr>
            <w:tcW w:w="2158" w:type="dxa"/>
            <w:shd w:val="clear" w:color="auto" w:fill="2C3C77" w:themeFill="accent1"/>
            <w:vAlign w:val="center"/>
          </w:tcPr>
          <w:p w14:paraId="30CC75D0" w14:textId="0CF2C53B" w:rsidR="001C3B8A" w:rsidRPr="003A387F" w:rsidRDefault="001C3B8A" w:rsidP="00D659F1">
            <w:pPr>
              <w:jc w:val="center"/>
              <w:rPr>
                <w:b/>
                <w:bCs/>
                <w:color w:val="FFFFFF" w:themeColor="background1"/>
              </w:rPr>
            </w:pPr>
            <w:r>
              <w:rPr>
                <w:b/>
                <w:bCs/>
                <w:color w:val="FFFFFF" w:themeColor="background1"/>
              </w:rPr>
              <w:t>GHG Emissions (Short Tons)</w:t>
            </w:r>
          </w:p>
        </w:tc>
        <w:tc>
          <w:tcPr>
            <w:tcW w:w="2158" w:type="dxa"/>
            <w:shd w:val="clear" w:color="auto" w:fill="2C3C77" w:themeFill="accent1"/>
            <w:vAlign w:val="center"/>
          </w:tcPr>
          <w:p w14:paraId="2ED06DE7" w14:textId="77777777" w:rsidR="001C3B8A" w:rsidRPr="003A387F" w:rsidRDefault="001C3B8A" w:rsidP="00D659F1">
            <w:pPr>
              <w:jc w:val="center"/>
              <w:rPr>
                <w:b/>
                <w:bCs/>
                <w:color w:val="FFFFFF" w:themeColor="background1"/>
              </w:rPr>
            </w:pPr>
            <w:r w:rsidRPr="003A387F">
              <w:rPr>
                <w:b/>
                <w:bCs/>
                <w:color w:val="FFFFFF" w:themeColor="background1"/>
              </w:rPr>
              <w:t>% Reduction</w:t>
            </w:r>
          </w:p>
        </w:tc>
      </w:tr>
      <w:tr w:rsidR="001C3B8A" w14:paraId="5F4B6B34" w14:textId="77777777" w:rsidTr="00D659F1">
        <w:tc>
          <w:tcPr>
            <w:tcW w:w="2158" w:type="dxa"/>
          </w:tcPr>
          <w:p w14:paraId="78AFDC7F" w14:textId="77777777" w:rsidR="001C3B8A" w:rsidRDefault="001C3B8A" w:rsidP="00D659F1">
            <w:pPr>
              <w:jc w:val="center"/>
            </w:pPr>
            <w:r>
              <w:t>Diesel</w:t>
            </w:r>
          </w:p>
        </w:tc>
        <w:tc>
          <w:tcPr>
            <w:tcW w:w="2158" w:type="dxa"/>
          </w:tcPr>
          <w:p w14:paraId="0DAAE150" w14:textId="77777777" w:rsidR="001C3B8A" w:rsidRDefault="001C3B8A" w:rsidP="00D659F1">
            <w:pPr>
              <w:jc w:val="center"/>
            </w:pPr>
            <w:r>
              <w:t>3,670</w:t>
            </w:r>
          </w:p>
        </w:tc>
        <w:tc>
          <w:tcPr>
            <w:tcW w:w="2158" w:type="dxa"/>
          </w:tcPr>
          <w:p w14:paraId="6F926033" w14:textId="77777777" w:rsidR="001C3B8A" w:rsidRDefault="001C3B8A" w:rsidP="00D659F1">
            <w:pPr>
              <w:jc w:val="center"/>
            </w:pPr>
            <w:r>
              <w:t>N/a</w:t>
            </w:r>
          </w:p>
        </w:tc>
        <w:tc>
          <w:tcPr>
            <w:tcW w:w="2158" w:type="dxa"/>
          </w:tcPr>
          <w:p w14:paraId="5D816FD3" w14:textId="77777777" w:rsidR="001C3B8A" w:rsidRDefault="001C3B8A" w:rsidP="00D659F1">
            <w:pPr>
              <w:jc w:val="center"/>
            </w:pPr>
            <w:r>
              <w:t>3,670</w:t>
            </w:r>
          </w:p>
        </w:tc>
        <w:tc>
          <w:tcPr>
            <w:tcW w:w="2158" w:type="dxa"/>
          </w:tcPr>
          <w:p w14:paraId="49ABCFB0" w14:textId="77777777" w:rsidR="001C3B8A" w:rsidRDefault="001C3B8A" w:rsidP="00D659F1">
            <w:pPr>
              <w:jc w:val="center"/>
            </w:pPr>
            <w:r>
              <w:t>N/a</w:t>
            </w:r>
          </w:p>
        </w:tc>
      </w:tr>
      <w:tr w:rsidR="001C3B8A" w14:paraId="41419470" w14:textId="77777777" w:rsidTr="00D659F1">
        <w:tc>
          <w:tcPr>
            <w:tcW w:w="2158" w:type="dxa"/>
          </w:tcPr>
          <w:p w14:paraId="6B5C82AE" w14:textId="77777777" w:rsidR="001C3B8A" w:rsidRDefault="001C3B8A" w:rsidP="00D659F1">
            <w:pPr>
              <w:jc w:val="center"/>
            </w:pPr>
            <w:r>
              <w:t>CNG</w:t>
            </w:r>
          </w:p>
        </w:tc>
        <w:tc>
          <w:tcPr>
            <w:tcW w:w="2158" w:type="dxa"/>
          </w:tcPr>
          <w:p w14:paraId="570E306A" w14:textId="77777777" w:rsidR="001C3B8A" w:rsidRDefault="001C3B8A" w:rsidP="00D659F1">
            <w:pPr>
              <w:jc w:val="center"/>
            </w:pPr>
            <w:r>
              <w:t>3,556</w:t>
            </w:r>
          </w:p>
        </w:tc>
        <w:tc>
          <w:tcPr>
            <w:tcW w:w="2158" w:type="dxa"/>
          </w:tcPr>
          <w:p w14:paraId="56643F3A" w14:textId="77777777" w:rsidR="001C3B8A" w:rsidRDefault="001C3B8A" w:rsidP="00D659F1">
            <w:pPr>
              <w:jc w:val="center"/>
            </w:pPr>
            <w:r>
              <w:t>3.1%</w:t>
            </w:r>
          </w:p>
        </w:tc>
        <w:tc>
          <w:tcPr>
            <w:tcW w:w="2158" w:type="dxa"/>
          </w:tcPr>
          <w:p w14:paraId="5EDA836A" w14:textId="77777777" w:rsidR="001C3B8A" w:rsidRDefault="001C3B8A" w:rsidP="00D659F1">
            <w:pPr>
              <w:jc w:val="center"/>
            </w:pPr>
            <w:r>
              <w:t>3,401</w:t>
            </w:r>
          </w:p>
        </w:tc>
        <w:tc>
          <w:tcPr>
            <w:tcW w:w="2158" w:type="dxa"/>
          </w:tcPr>
          <w:p w14:paraId="7FF05032" w14:textId="77777777" w:rsidR="001C3B8A" w:rsidRDefault="001C3B8A" w:rsidP="00D659F1">
            <w:pPr>
              <w:jc w:val="center"/>
            </w:pPr>
            <w:r>
              <w:t>7.3%</w:t>
            </w:r>
          </w:p>
        </w:tc>
      </w:tr>
      <w:tr w:rsidR="001C3B8A" w14:paraId="0D9385D5" w14:textId="77777777" w:rsidTr="00D659F1">
        <w:tc>
          <w:tcPr>
            <w:tcW w:w="2158" w:type="dxa"/>
          </w:tcPr>
          <w:p w14:paraId="0BE85359" w14:textId="77777777" w:rsidR="001C3B8A" w:rsidRDefault="001C3B8A" w:rsidP="00D659F1">
            <w:pPr>
              <w:jc w:val="center"/>
            </w:pPr>
            <w:r>
              <w:t>RNG</w:t>
            </w:r>
          </w:p>
        </w:tc>
        <w:tc>
          <w:tcPr>
            <w:tcW w:w="2158" w:type="dxa"/>
          </w:tcPr>
          <w:p w14:paraId="6AD23BD2" w14:textId="77777777" w:rsidR="001C3B8A" w:rsidRDefault="001C3B8A" w:rsidP="00D659F1">
            <w:pPr>
              <w:jc w:val="center"/>
            </w:pPr>
            <w:r>
              <w:t>3,282</w:t>
            </w:r>
          </w:p>
        </w:tc>
        <w:tc>
          <w:tcPr>
            <w:tcW w:w="2158" w:type="dxa"/>
          </w:tcPr>
          <w:p w14:paraId="1E4DD3DD" w14:textId="77777777" w:rsidR="001C3B8A" w:rsidRDefault="001C3B8A" w:rsidP="00D659F1">
            <w:pPr>
              <w:jc w:val="center"/>
            </w:pPr>
            <w:r>
              <w:t>10.6%</w:t>
            </w:r>
          </w:p>
        </w:tc>
        <w:tc>
          <w:tcPr>
            <w:tcW w:w="2158" w:type="dxa"/>
          </w:tcPr>
          <w:p w14:paraId="2AC58068" w14:textId="77777777" w:rsidR="001C3B8A" w:rsidRDefault="001C3B8A" w:rsidP="00D659F1">
            <w:pPr>
              <w:jc w:val="center"/>
            </w:pPr>
            <w:r>
              <w:t>-1,887</w:t>
            </w:r>
          </w:p>
        </w:tc>
        <w:tc>
          <w:tcPr>
            <w:tcW w:w="2158" w:type="dxa"/>
          </w:tcPr>
          <w:p w14:paraId="75DBD551" w14:textId="77777777" w:rsidR="001C3B8A" w:rsidRDefault="001C3B8A" w:rsidP="00D659F1">
            <w:pPr>
              <w:jc w:val="center"/>
            </w:pPr>
            <w:r>
              <w:t>151.4%</w:t>
            </w:r>
          </w:p>
        </w:tc>
      </w:tr>
      <w:tr w:rsidR="001C3B8A" w14:paraId="0EEDB1D4" w14:textId="77777777" w:rsidTr="00D659F1">
        <w:tc>
          <w:tcPr>
            <w:tcW w:w="2158" w:type="dxa"/>
          </w:tcPr>
          <w:p w14:paraId="6F81E42A" w14:textId="77777777" w:rsidR="001C3B8A" w:rsidRDefault="001C3B8A" w:rsidP="00D659F1">
            <w:pPr>
              <w:jc w:val="center"/>
            </w:pPr>
            <w:r>
              <w:t>BEB</w:t>
            </w:r>
          </w:p>
        </w:tc>
        <w:tc>
          <w:tcPr>
            <w:tcW w:w="2158" w:type="dxa"/>
          </w:tcPr>
          <w:p w14:paraId="651B0A67" w14:textId="77777777" w:rsidR="001C3B8A" w:rsidRDefault="001C3B8A" w:rsidP="00D659F1">
            <w:pPr>
              <w:jc w:val="center"/>
            </w:pPr>
            <w:r>
              <w:t>3,419</w:t>
            </w:r>
          </w:p>
        </w:tc>
        <w:tc>
          <w:tcPr>
            <w:tcW w:w="2158" w:type="dxa"/>
          </w:tcPr>
          <w:p w14:paraId="596B0807" w14:textId="77777777" w:rsidR="001C3B8A" w:rsidRDefault="001C3B8A" w:rsidP="00D659F1">
            <w:pPr>
              <w:jc w:val="center"/>
            </w:pPr>
            <w:r>
              <w:t>6.8%</w:t>
            </w:r>
          </w:p>
        </w:tc>
        <w:tc>
          <w:tcPr>
            <w:tcW w:w="2158" w:type="dxa"/>
          </w:tcPr>
          <w:p w14:paraId="7A1FE2FC" w14:textId="77777777" w:rsidR="001C3B8A" w:rsidRDefault="001C3B8A" w:rsidP="00D659F1">
            <w:pPr>
              <w:jc w:val="center"/>
            </w:pPr>
            <w:r>
              <w:t>15</w:t>
            </w:r>
          </w:p>
        </w:tc>
        <w:tc>
          <w:tcPr>
            <w:tcW w:w="2158" w:type="dxa"/>
          </w:tcPr>
          <w:p w14:paraId="3453D3B6" w14:textId="77777777" w:rsidR="001C3B8A" w:rsidRDefault="001C3B8A" w:rsidP="00D659F1">
            <w:pPr>
              <w:jc w:val="center"/>
            </w:pPr>
            <w:r>
              <w:t>99.4%</w:t>
            </w:r>
          </w:p>
        </w:tc>
      </w:tr>
      <w:tr w:rsidR="001C3B8A" w14:paraId="571FDA9D" w14:textId="77777777" w:rsidTr="00D659F1">
        <w:tc>
          <w:tcPr>
            <w:tcW w:w="2158" w:type="dxa"/>
          </w:tcPr>
          <w:p w14:paraId="4FCBDB25" w14:textId="11C55F57" w:rsidR="001C3B8A" w:rsidRDefault="001C3B8A" w:rsidP="00D659F1">
            <w:pPr>
              <w:jc w:val="center"/>
            </w:pPr>
            <w:r>
              <w:t>Gr</w:t>
            </w:r>
            <w:r w:rsidR="001F5298">
              <w:t>a</w:t>
            </w:r>
            <w:r>
              <w:t>y FCEB</w:t>
            </w:r>
          </w:p>
        </w:tc>
        <w:tc>
          <w:tcPr>
            <w:tcW w:w="2158" w:type="dxa"/>
          </w:tcPr>
          <w:p w14:paraId="5AA2FF12" w14:textId="77777777" w:rsidR="001C3B8A" w:rsidRDefault="001C3B8A" w:rsidP="00D659F1">
            <w:pPr>
              <w:jc w:val="center"/>
            </w:pPr>
            <w:r>
              <w:t>3,496</w:t>
            </w:r>
          </w:p>
        </w:tc>
        <w:tc>
          <w:tcPr>
            <w:tcW w:w="2158" w:type="dxa"/>
          </w:tcPr>
          <w:p w14:paraId="3A202D35" w14:textId="77777777" w:rsidR="001C3B8A" w:rsidRDefault="001C3B8A" w:rsidP="00D659F1">
            <w:pPr>
              <w:jc w:val="center"/>
            </w:pPr>
            <w:r>
              <w:t>4.7%</w:t>
            </w:r>
          </w:p>
        </w:tc>
        <w:tc>
          <w:tcPr>
            <w:tcW w:w="2158" w:type="dxa"/>
          </w:tcPr>
          <w:p w14:paraId="7F7311A8" w14:textId="77777777" w:rsidR="001C3B8A" w:rsidRDefault="001C3B8A" w:rsidP="00D659F1">
            <w:pPr>
              <w:jc w:val="center"/>
            </w:pPr>
            <w:r>
              <w:t>2,243</w:t>
            </w:r>
          </w:p>
        </w:tc>
        <w:tc>
          <w:tcPr>
            <w:tcW w:w="2158" w:type="dxa"/>
          </w:tcPr>
          <w:p w14:paraId="7C795E34" w14:textId="77777777" w:rsidR="001C3B8A" w:rsidRDefault="001C3B8A" w:rsidP="00D659F1">
            <w:pPr>
              <w:jc w:val="center"/>
            </w:pPr>
            <w:r>
              <w:t>38.9%</w:t>
            </w:r>
          </w:p>
        </w:tc>
      </w:tr>
      <w:tr w:rsidR="001C3B8A" w14:paraId="04413275" w14:textId="77777777" w:rsidTr="00D659F1">
        <w:tc>
          <w:tcPr>
            <w:tcW w:w="2158" w:type="dxa"/>
          </w:tcPr>
          <w:p w14:paraId="7C129E43" w14:textId="77777777" w:rsidR="001C3B8A" w:rsidRDefault="001C3B8A" w:rsidP="00D659F1">
            <w:pPr>
              <w:jc w:val="center"/>
            </w:pPr>
            <w:r>
              <w:t>Green FCEB</w:t>
            </w:r>
          </w:p>
        </w:tc>
        <w:tc>
          <w:tcPr>
            <w:tcW w:w="2158" w:type="dxa"/>
          </w:tcPr>
          <w:p w14:paraId="714E5963" w14:textId="77777777" w:rsidR="001C3B8A" w:rsidRDefault="001C3B8A" w:rsidP="00D659F1">
            <w:pPr>
              <w:jc w:val="center"/>
            </w:pPr>
            <w:r>
              <w:t>3,482</w:t>
            </w:r>
          </w:p>
        </w:tc>
        <w:tc>
          <w:tcPr>
            <w:tcW w:w="2158" w:type="dxa"/>
          </w:tcPr>
          <w:p w14:paraId="65C81E47" w14:textId="77777777" w:rsidR="001C3B8A" w:rsidRDefault="001C3B8A" w:rsidP="00D659F1">
            <w:pPr>
              <w:jc w:val="center"/>
            </w:pPr>
            <w:r>
              <w:t>5.1%</w:t>
            </w:r>
          </w:p>
        </w:tc>
        <w:tc>
          <w:tcPr>
            <w:tcW w:w="2158" w:type="dxa"/>
          </w:tcPr>
          <w:p w14:paraId="493E789D" w14:textId="77777777" w:rsidR="001C3B8A" w:rsidRDefault="001C3B8A" w:rsidP="00D659F1">
            <w:pPr>
              <w:jc w:val="center"/>
            </w:pPr>
            <w:r>
              <w:t>38</w:t>
            </w:r>
          </w:p>
        </w:tc>
        <w:tc>
          <w:tcPr>
            <w:tcW w:w="2158" w:type="dxa"/>
          </w:tcPr>
          <w:p w14:paraId="7CA5EB4F" w14:textId="77777777" w:rsidR="001C3B8A" w:rsidRDefault="001C3B8A" w:rsidP="00D659F1">
            <w:pPr>
              <w:jc w:val="center"/>
            </w:pPr>
            <w:r>
              <w:t>99.0%</w:t>
            </w:r>
          </w:p>
        </w:tc>
      </w:tr>
    </w:tbl>
    <w:p w14:paraId="5439769D" w14:textId="77777777" w:rsidR="001C3B8A" w:rsidRDefault="001C3B8A" w:rsidP="001C3B8A"/>
    <w:p w14:paraId="3B884325" w14:textId="55309978" w:rsidR="001C3B8A" w:rsidRDefault="001C3B8A" w:rsidP="001C3B8A">
      <w:r>
        <w:t>From 2022 to 2027, the GHG emissions are consistent between transition scenarios as the fleet composition is the same in all scenarios. This same period also sees a rise in GHG emissions as CAT’s fleet expands, the VMT increase</w:t>
      </w:r>
      <w:r w:rsidR="001F5298">
        <w:t>s</w:t>
      </w:r>
      <w:r>
        <w:t xml:space="preserve">, and as the hybrid diesel-electric buses are replaced by diesel buses. Starting in 2028, the </w:t>
      </w:r>
      <w:proofErr w:type="gramStart"/>
      <w:r>
        <w:t>alternatively-fueled</w:t>
      </w:r>
      <w:proofErr w:type="gramEnd"/>
      <w:r>
        <w:t xml:space="preserve"> scenarios diverge and GHG reductions separate as CAT’s fleet and the composition of the electric grid becomes more powered by renewable energy. The CNG, RNG, and Gr</w:t>
      </w:r>
      <w:r w:rsidR="001F5298">
        <w:t>a</w:t>
      </w:r>
      <w:r>
        <w:t>y FCEB hit their lowest GHG emissions in 2040 when CAT’s fleet has totally transitioned to the respective alternative</w:t>
      </w:r>
      <w:r w:rsidR="0054700C">
        <w:t>ly</w:t>
      </w:r>
      <w:r>
        <w:t xml:space="preserve"> fueled vehicle type. The BEB and Green FCEB transition scenarios also completely transition from diesel buses in 2040 but continue to reduce their GHG emissions as the electric grid becomes less composed of carbon-emitting energy sources. </w:t>
      </w:r>
    </w:p>
    <w:p w14:paraId="7584C1AC" w14:textId="77777777" w:rsidR="001C3B8A" w:rsidRDefault="001C3B8A" w:rsidP="001C3B8A">
      <w:pPr>
        <w:pStyle w:val="Caption"/>
        <w:keepNext/>
        <w:jc w:val="center"/>
      </w:pPr>
      <w:bookmarkStart w:id="33" w:name="_Ref134163065"/>
      <w:bookmarkStart w:id="34" w:name="_Toc134183739"/>
      <w:r>
        <w:t xml:space="preserve">Figure </w:t>
      </w:r>
      <w:r>
        <w:fldChar w:fldCharType="begin"/>
      </w:r>
      <w:r>
        <w:instrText xml:space="preserve"> SEQ Figure \* ARABIC </w:instrText>
      </w:r>
      <w:r>
        <w:fldChar w:fldCharType="separate"/>
      </w:r>
      <w:r>
        <w:rPr>
          <w:noProof/>
        </w:rPr>
        <w:t>4</w:t>
      </w:r>
      <w:r>
        <w:rPr>
          <w:noProof/>
        </w:rPr>
        <w:fldChar w:fldCharType="end"/>
      </w:r>
      <w:bookmarkEnd w:id="33"/>
      <w:r>
        <w:t xml:space="preserve">: </w:t>
      </w:r>
      <w:r w:rsidRPr="00732490">
        <w:t>Carbon Monoxide Emissions at Full Transition</w:t>
      </w:r>
      <w:bookmarkEnd w:id="34"/>
    </w:p>
    <w:p w14:paraId="0106DE85" w14:textId="6C64DC41" w:rsidR="001C3B8A" w:rsidRDefault="00445BAA" w:rsidP="001C3B8A">
      <w:pPr>
        <w:jc w:val="center"/>
      </w:pPr>
      <w:r w:rsidRPr="00445BAA">
        <w:rPr>
          <w:rFonts w:ascii="Times New Roman" w:eastAsia="Calibri" w:hAnsi="Times New Roman" w:cs="Times New Roman"/>
          <w:noProof/>
          <w:sz w:val="24"/>
          <w:szCs w:val="24"/>
        </w:rPr>
        <mc:AlternateContent>
          <mc:Choice Requires="wpg">
            <w:drawing>
              <wp:inline distT="0" distB="0" distL="0" distR="0" wp14:anchorId="74629BF3" wp14:editId="05767BAF">
                <wp:extent cx="6419215" cy="3712845"/>
                <wp:effectExtent l="0" t="0" r="19685" b="20955"/>
                <wp:docPr id="30" name="Group 30"/>
                <wp:cNvGraphicFramePr/>
                <a:graphic xmlns:a="http://schemas.openxmlformats.org/drawingml/2006/main">
                  <a:graphicData uri="http://schemas.microsoft.com/office/word/2010/wordprocessingGroup">
                    <wpg:wgp>
                      <wpg:cNvGrpSpPr/>
                      <wpg:grpSpPr>
                        <a:xfrm>
                          <a:off x="0" y="0"/>
                          <a:ext cx="6419215" cy="3712845"/>
                          <a:chOff x="4762" y="4762"/>
                          <a:chExt cx="6409690" cy="3703320"/>
                        </a:xfrm>
                      </wpg:grpSpPr>
                      <wps:wsp>
                        <wps:cNvPr id="31" name="Graphic 263"/>
                        <wps:cNvSpPr/>
                        <wps:spPr>
                          <a:xfrm>
                            <a:off x="763841" y="691197"/>
                            <a:ext cx="5511165" cy="2192020"/>
                          </a:xfrm>
                          <a:custGeom>
                            <a:avLst/>
                            <a:gdLst/>
                            <a:ahLst/>
                            <a:cxnLst/>
                            <a:rect l="l" t="t" r="r" b="b"/>
                            <a:pathLst>
                              <a:path w="5511165" h="2192020">
                                <a:moveTo>
                                  <a:pt x="0" y="2191512"/>
                                </a:moveTo>
                                <a:lnTo>
                                  <a:pt x="472694" y="2191512"/>
                                </a:lnTo>
                              </a:path>
                              <a:path w="5511165" h="2192020">
                                <a:moveTo>
                                  <a:pt x="905510" y="2191512"/>
                                </a:moveTo>
                                <a:lnTo>
                                  <a:pt x="5510911" y="2191512"/>
                                </a:lnTo>
                              </a:path>
                              <a:path w="5511165" h="2192020">
                                <a:moveTo>
                                  <a:pt x="0" y="1642872"/>
                                </a:moveTo>
                                <a:lnTo>
                                  <a:pt x="472694" y="1642872"/>
                                </a:lnTo>
                              </a:path>
                              <a:path w="5511165" h="2192020">
                                <a:moveTo>
                                  <a:pt x="905510" y="1642872"/>
                                </a:moveTo>
                                <a:lnTo>
                                  <a:pt x="5510911" y="1642872"/>
                                </a:lnTo>
                              </a:path>
                              <a:path w="5511165" h="2192020">
                                <a:moveTo>
                                  <a:pt x="0" y="1094231"/>
                                </a:moveTo>
                                <a:lnTo>
                                  <a:pt x="472694" y="1094231"/>
                                </a:lnTo>
                              </a:path>
                              <a:path w="5511165" h="2192020">
                                <a:moveTo>
                                  <a:pt x="905510" y="1094231"/>
                                </a:moveTo>
                                <a:lnTo>
                                  <a:pt x="5510911" y="1094231"/>
                                </a:lnTo>
                              </a:path>
                              <a:path w="5511165" h="2192020">
                                <a:moveTo>
                                  <a:pt x="0" y="548640"/>
                                </a:moveTo>
                                <a:lnTo>
                                  <a:pt x="472694" y="548640"/>
                                </a:lnTo>
                              </a:path>
                              <a:path w="5511165" h="2192020">
                                <a:moveTo>
                                  <a:pt x="905510" y="548640"/>
                                </a:moveTo>
                                <a:lnTo>
                                  <a:pt x="5510911" y="548640"/>
                                </a:lnTo>
                              </a:path>
                              <a:path w="5511165" h="2192020">
                                <a:moveTo>
                                  <a:pt x="0" y="0"/>
                                </a:moveTo>
                                <a:lnTo>
                                  <a:pt x="472694" y="0"/>
                                </a:lnTo>
                              </a:path>
                              <a:path w="5511165" h="2192020">
                                <a:moveTo>
                                  <a:pt x="905510" y="0"/>
                                </a:moveTo>
                                <a:lnTo>
                                  <a:pt x="5510911" y="0"/>
                                </a:lnTo>
                              </a:path>
                            </a:pathLst>
                          </a:custGeom>
                          <a:ln w="9525">
                            <a:solidFill>
                              <a:srgbClr val="D9D9D9"/>
                            </a:solidFill>
                            <a:prstDash val="solid"/>
                          </a:ln>
                        </wps:spPr>
                        <wps:bodyPr wrap="square" lIns="0" tIns="0" rIns="0" bIns="0" rtlCol="0">
                          <a:prstTxWarp prst="textNoShape">
                            <a:avLst/>
                          </a:prstTxWarp>
                          <a:noAutofit/>
                        </wps:bodyPr>
                      </wps:wsp>
                      <wps:wsp>
                        <wps:cNvPr id="32" name="Graphic 264"/>
                        <wps:cNvSpPr/>
                        <wps:spPr>
                          <a:xfrm>
                            <a:off x="1236535" y="651573"/>
                            <a:ext cx="1811020" cy="2777490"/>
                          </a:xfrm>
                          <a:custGeom>
                            <a:avLst/>
                            <a:gdLst/>
                            <a:ahLst/>
                            <a:cxnLst/>
                            <a:rect l="l" t="t" r="r" b="b"/>
                            <a:pathLst>
                              <a:path w="1811020" h="2777490">
                                <a:moveTo>
                                  <a:pt x="432816" y="0"/>
                                </a:moveTo>
                                <a:lnTo>
                                  <a:pt x="0" y="0"/>
                                </a:lnTo>
                                <a:lnTo>
                                  <a:pt x="0" y="2777363"/>
                                </a:lnTo>
                                <a:lnTo>
                                  <a:pt x="432816" y="2777363"/>
                                </a:lnTo>
                                <a:lnTo>
                                  <a:pt x="432816" y="0"/>
                                </a:lnTo>
                                <a:close/>
                              </a:path>
                              <a:path w="1811020" h="2777490">
                                <a:moveTo>
                                  <a:pt x="1810512" y="2535936"/>
                                </a:moveTo>
                                <a:lnTo>
                                  <a:pt x="1377696" y="2535936"/>
                                </a:lnTo>
                                <a:lnTo>
                                  <a:pt x="1377696" y="2777363"/>
                                </a:lnTo>
                                <a:lnTo>
                                  <a:pt x="1810512" y="2777363"/>
                                </a:lnTo>
                                <a:lnTo>
                                  <a:pt x="1810512" y="2535936"/>
                                </a:lnTo>
                                <a:close/>
                              </a:path>
                            </a:pathLst>
                          </a:custGeom>
                          <a:solidFill>
                            <a:srgbClr val="2C3B77"/>
                          </a:solidFill>
                        </wps:spPr>
                        <wps:bodyPr wrap="square" lIns="0" tIns="0" rIns="0" bIns="0" rtlCol="0">
                          <a:prstTxWarp prst="textNoShape">
                            <a:avLst/>
                          </a:prstTxWarp>
                          <a:noAutofit/>
                        </wps:bodyPr>
                      </wps:wsp>
                      <wps:wsp>
                        <wps:cNvPr id="33" name="Graphic 265"/>
                        <wps:cNvSpPr/>
                        <wps:spPr>
                          <a:xfrm>
                            <a:off x="763841" y="144462"/>
                            <a:ext cx="5511165" cy="3284854"/>
                          </a:xfrm>
                          <a:custGeom>
                            <a:avLst/>
                            <a:gdLst/>
                            <a:ahLst/>
                            <a:cxnLst/>
                            <a:rect l="l" t="t" r="r" b="b"/>
                            <a:pathLst>
                              <a:path w="5511165" h="3284854">
                                <a:moveTo>
                                  <a:pt x="0" y="3284474"/>
                                </a:moveTo>
                                <a:lnTo>
                                  <a:pt x="5510911" y="3284474"/>
                                </a:lnTo>
                              </a:path>
                              <a:path w="5511165" h="3284854">
                                <a:moveTo>
                                  <a:pt x="0" y="0"/>
                                </a:moveTo>
                                <a:lnTo>
                                  <a:pt x="5510911" y="0"/>
                                </a:lnTo>
                              </a:path>
                            </a:pathLst>
                          </a:custGeom>
                          <a:ln w="9525">
                            <a:solidFill>
                              <a:srgbClr val="D9D9D9"/>
                            </a:solidFill>
                            <a:prstDash val="solid"/>
                          </a:ln>
                        </wps:spPr>
                        <wps:bodyPr wrap="square" lIns="0" tIns="0" rIns="0" bIns="0" rtlCol="0">
                          <a:prstTxWarp prst="textNoShape">
                            <a:avLst/>
                          </a:prstTxWarp>
                          <a:noAutofit/>
                        </wps:bodyPr>
                      </wps:wsp>
                      <wps:wsp>
                        <wps:cNvPr id="34" name="Graphic 266"/>
                        <wps:cNvSpPr/>
                        <wps:spPr>
                          <a:xfrm>
                            <a:off x="4762" y="4762"/>
                            <a:ext cx="6409690" cy="3703320"/>
                          </a:xfrm>
                          <a:custGeom>
                            <a:avLst/>
                            <a:gdLst/>
                            <a:ahLst/>
                            <a:cxnLst/>
                            <a:rect l="l" t="t" r="r" b="b"/>
                            <a:pathLst>
                              <a:path w="6409690" h="3703320">
                                <a:moveTo>
                                  <a:pt x="0" y="3703320"/>
                                </a:moveTo>
                                <a:lnTo>
                                  <a:pt x="6409690" y="3703320"/>
                                </a:lnTo>
                                <a:lnTo>
                                  <a:pt x="6409690" y="0"/>
                                </a:lnTo>
                                <a:lnTo>
                                  <a:pt x="0" y="0"/>
                                </a:lnTo>
                                <a:lnTo>
                                  <a:pt x="0" y="3703320"/>
                                </a:lnTo>
                                <a:close/>
                              </a:path>
                            </a:pathLst>
                          </a:custGeom>
                          <a:ln w="9525">
                            <a:solidFill>
                              <a:srgbClr val="D9D9D9"/>
                            </a:solidFill>
                            <a:prstDash val="solid"/>
                          </a:ln>
                        </wps:spPr>
                        <wps:bodyPr wrap="square" lIns="0" tIns="0" rIns="0" bIns="0" rtlCol="0">
                          <a:prstTxWarp prst="textNoShape">
                            <a:avLst/>
                          </a:prstTxWarp>
                          <a:noAutofit/>
                        </wps:bodyPr>
                      </wps:wsp>
                      <wps:wsp>
                        <wps:cNvPr id="35" name="Textbox 267"/>
                        <wps:cNvSpPr txBox="1"/>
                        <wps:spPr>
                          <a:xfrm>
                            <a:off x="1277429" y="463895"/>
                            <a:ext cx="367030" cy="130175"/>
                          </a:xfrm>
                          <a:prstGeom prst="rect">
                            <a:avLst/>
                          </a:prstGeom>
                        </wps:spPr>
                        <wps:txbx>
                          <w:txbxContent>
                            <w:p w14:paraId="7C7A7BD6" w14:textId="77777777" w:rsidR="00445BAA" w:rsidRDefault="00445BAA" w:rsidP="00445BAA">
                              <w:pPr>
                                <w:spacing w:line="204" w:lineRule="exact"/>
                                <w:rPr>
                                  <w:sz w:val="18"/>
                                </w:rPr>
                              </w:pPr>
                              <w:r>
                                <w:rPr>
                                  <w:color w:val="404040"/>
                                  <w:spacing w:val="-2"/>
                                  <w:sz w:val="18"/>
                                </w:rPr>
                                <w:t>50,758</w:t>
                              </w:r>
                            </w:p>
                          </w:txbxContent>
                        </wps:txbx>
                        <wps:bodyPr wrap="square" lIns="0" tIns="0" rIns="0" bIns="0" rtlCol="0">
                          <a:noAutofit/>
                        </wps:bodyPr>
                      </wps:wsp>
                      <wps:wsp>
                        <wps:cNvPr id="36" name="Textbox 268"/>
                        <wps:cNvSpPr txBox="1"/>
                        <wps:spPr>
                          <a:xfrm>
                            <a:off x="348043" y="624191"/>
                            <a:ext cx="330200" cy="129539"/>
                          </a:xfrm>
                          <a:prstGeom prst="rect">
                            <a:avLst/>
                          </a:prstGeom>
                        </wps:spPr>
                        <wps:txbx>
                          <w:txbxContent>
                            <w:p w14:paraId="01EDB2CA" w14:textId="77777777" w:rsidR="00445BAA" w:rsidRDefault="00445BAA" w:rsidP="00445BAA">
                              <w:pPr>
                                <w:spacing w:line="203" w:lineRule="exact"/>
                                <w:rPr>
                                  <w:sz w:val="18"/>
                                </w:rPr>
                              </w:pPr>
                              <w:r>
                                <w:rPr>
                                  <w:color w:val="585858"/>
                                  <w:spacing w:val="-2"/>
                                  <w:sz w:val="18"/>
                                </w:rPr>
                                <w:t>50000</w:t>
                              </w:r>
                            </w:p>
                          </w:txbxContent>
                        </wps:txbx>
                        <wps:bodyPr wrap="square" lIns="0" tIns="0" rIns="0" bIns="0" rtlCol="0">
                          <a:noAutofit/>
                        </wps:bodyPr>
                      </wps:wsp>
                      <wps:wsp>
                        <wps:cNvPr id="37" name="Textbox 269"/>
                        <wps:cNvSpPr txBox="1"/>
                        <wps:spPr>
                          <a:xfrm>
                            <a:off x="348043" y="1171561"/>
                            <a:ext cx="330200" cy="129539"/>
                          </a:xfrm>
                          <a:prstGeom prst="rect">
                            <a:avLst/>
                          </a:prstGeom>
                        </wps:spPr>
                        <wps:txbx>
                          <w:txbxContent>
                            <w:p w14:paraId="16F08E2E" w14:textId="77777777" w:rsidR="00445BAA" w:rsidRDefault="00445BAA" w:rsidP="00445BAA">
                              <w:pPr>
                                <w:spacing w:line="203" w:lineRule="exact"/>
                                <w:rPr>
                                  <w:sz w:val="18"/>
                                </w:rPr>
                              </w:pPr>
                              <w:r>
                                <w:rPr>
                                  <w:color w:val="585858"/>
                                  <w:spacing w:val="-2"/>
                                  <w:sz w:val="18"/>
                                </w:rPr>
                                <w:t>40000</w:t>
                              </w:r>
                            </w:p>
                          </w:txbxContent>
                        </wps:txbx>
                        <wps:bodyPr wrap="square" lIns="0" tIns="0" rIns="0" bIns="0" rtlCol="0">
                          <a:noAutofit/>
                        </wps:bodyPr>
                      </wps:wsp>
                      <wps:wsp>
                        <wps:cNvPr id="38" name="Textbox 270"/>
                        <wps:cNvSpPr txBox="1"/>
                        <wps:spPr>
                          <a:xfrm>
                            <a:off x="348043" y="1719312"/>
                            <a:ext cx="330200" cy="129539"/>
                          </a:xfrm>
                          <a:prstGeom prst="rect">
                            <a:avLst/>
                          </a:prstGeom>
                        </wps:spPr>
                        <wps:txbx>
                          <w:txbxContent>
                            <w:p w14:paraId="258B474B" w14:textId="77777777" w:rsidR="00445BAA" w:rsidRDefault="00445BAA" w:rsidP="00445BAA">
                              <w:pPr>
                                <w:spacing w:line="203" w:lineRule="exact"/>
                                <w:rPr>
                                  <w:sz w:val="18"/>
                                </w:rPr>
                              </w:pPr>
                              <w:r>
                                <w:rPr>
                                  <w:color w:val="585858"/>
                                  <w:spacing w:val="-2"/>
                                  <w:sz w:val="18"/>
                                </w:rPr>
                                <w:t>30000</w:t>
                              </w:r>
                            </w:p>
                          </w:txbxContent>
                        </wps:txbx>
                        <wps:bodyPr wrap="square" lIns="0" tIns="0" rIns="0" bIns="0" rtlCol="0">
                          <a:noAutofit/>
                        </wps:bodyPr>
                      </wps:wsp>
                      <wps:wsp>
                        <wps:cNvPr id="39" name="Textbox 271"/>
                        <wps:cNvSpPr txBox="1"/>
                        <wps:spPr>
                          <a:xfrm>
                            <a:off x="348043" y="2266682"/>
                            <a:ext cx="330200" cy="129539"/>
                          </a:xfrm>
                          <a:prstGeom prst="rect">
                            <a:avLst/>
                          </a:prstGeom>
                        </wps:spPr>
                        <wps:txbx>
                          <w:txbxContent>
                            <w:p w14:paraId="6B3AC4C9" w14:textId="77777777" w:rsidR="00445BAA" w:rsidRDefault="00445BAA" w:rsidP="00445BAA">
                              <w:pPr>
                                <w:spacing w:line="203" w:lineRule="exact"/>
                                <w:rPr>
                                  <w:sz w:val="18"/>
                                </w:rPr>
                              </w:pPr>
                              <w:r>
                                <w:rPr>
                                  <w:color w:val="585858"/>
                                  <w:spacing w:val="-2"/>
                                  <w:sz w:val="18"/>
                                </w:rPr>
                                <w:t>20000</w:t>
                              </w:r>
                            </w:p>
                          </w:txbxContent>
                        </wps:txbx>
                        <wps:bodyPr wrap="square" lIns="0" tIns="0" rIns="0" bIns="0" rtlCol="0">
                          <a:noAutofit/>
                        </wps:bodyPr>
                      </wps:wsp>
                      <wps:wsp>
                        <wps:cNvPr id="40" name="Textbox 272"/>
                        <wps:cNvSpPr txBox="1"/>
                        <wps:spPr>
                          <a:xfrm>
                            <a:off x="348043" y="2814433"/>
                            <a:ext cx="330200" cy="129539"/>
                          </a:xfrm>
                          <a:prstGeom prst="rect">
                            <a:avLst/>
                          </a:prstGeom>
                        </wps:spPr>
                        <wps:txbx>
                          <w:txbxContent>
                            <w:p w14:paraId="489C4A3B" w14:textId="77777777" w:rsidR="00445BAA" w:rsidRDefault="00445BAA" w:rsidP="00445BAA">
                              <w:pPr>
                                <w:spacing w:line="203" w:lineRule="exact"/>
                                <w:rPr>
                                  <w:sz w:val="18"/>
                                </w:rPr>
                              </w:pPr>
                              <w:r>
                                <w:rPr>
                                  <w:color w:val="585858"/>
                                  <w:spacing w:val="-2"/>
                                  <w:sz w:val="18"/>
                                </w:rPr>
                                <w:t>10000</w:t>
                              </w:r>
                            </w:p>
                          </w:txbxContent>
                        </wps:txbx>
                        <wps:bodyPr wrap="square" lIns="0" tIns="0" rIns="0" bIns="0" rtlCol="0">
                          <a:noAutofit/>
                        </wps:bodyPr>
                      </wps:wsp>
                      <wps:wsp>
                        <wps:cNvPr id="41" name="Textbox 273"/>
                        <wps:cNvSpPr txBox="1"/>
                        <wps:spPr>
                          <a:xfrm>
                            <a:off x="2685859" y="3001885"/>
                            <a:ext cx="302895" cy="129539"/>
                          </a:xfrm>
                          <a:prstGeom prst="rect">
                            <a:avLst/>
                          </a:prstGeom>
                        </wps:spPr>
                        <wps:txbx>
                          <w:txbxContent>
                            <w:p w14:paraId="2ED892F9" w14:textId="77777777" w:rsidR="00445BAA" w:rsidRDefault="00445BAA" w:rsidP="00445BAA">
                              <w:pPr>
                                <w:spacing w:line="203" w:lineRule="exact"/>
                                <w:rPr>
                                  <w:sz w:val="18"/>
                                </w:rPr>
                              </w:pPr>
                              <w:r>
                                <w:rPr>
                                  <w:color w:val="404040"/>
                                  <w:spacing w:val="-2"/>
                                  <w:sz w:val="18"/>
                                </w:rPr>
                                <w:t>4,414</w:t>
                              </w:r>
                            </w:p>
                          </w:txbxContent>
                        </wps:txbx>
                        <wps:bodyPr wrap="square" lIns="0" tIns="0" rIns="0" bIns="0" rtlCol="0">
                          <a:noAutofit/>
                        </wps:bodyPr>
                      </wps:wsp>
                      <wps:wsp>
                        <wps:cNvPr id="42" name="Textbox 274"/>
                        <wps:cNvSpPr txBox="1"/>
                        <wps:spPr>
                          <a:xfrm>
                            <a:off x="4176966" y="3243566"/>
                            <a:ext cx="77470" cy="129539"/>
                          </a:xfrm>
                          <a:prstGeom prst="rect">
                            <a:avLst/>
                          </a:prstGeom>
                        </wps:spPr>
                        <wps:txbx>
                          <w:txbxContent>
                            <w:p w14:paraId="458B369E" w14:textId="77777777" w:rsidR="00445BAA" w:rsidRDefault="00445BAA" w:rsidP="00445BAA">
                              <w:pPr>
                                <w:spacing w:line="203" w:lineRule="exact"/>
                                <w:rPr>
                                  <w:sz w:val="18"/>
                                </w:rPr>
                              </w:pPr>
                              <w:r>
                                <w:rPr>
                                  <w:color w:val="404040"/>
                                  <w:w w:val="101"/>
                                  <w:sz w:val="18"/>
                                </w:rPr>
                                <w:t>0</w:t>
                              </w:r>
                            </w:p>
                          </w:txbxContent>
                        </wps:txbx>
                        <wps:bodyPr wrap="square" lIns="0" tIns="0" rIns="0" bIns="0" rtlCol="0">
                          <a:noAutofit/>
                        </wps:bodyPr>
                      </wps:wsp>
                      <wps:wsp>
                        <wps:cNvPr id="43" name="Textbox 275"/>
                        <wps:cNvSpPr txBox="1"/>
                        <wps:spPr>
                          <a:xfrm>
                            <a:off x="5555297" y="3243566"/>
                            <a:ext cx="77470" cy="129539"/>
                          </a:xfrm>
                          <a:prstGeom prst="rect">
                            <a:avLst/>
                          </a:prstGeom>
                        </wps:spPr>
                        <wps:txbx>
                          <w:txbxContent>
                            <w:p w14:paraId="08BB3547" w14:textId="77777777" w:rsidR="00445BAA" w:rsidRDefault="00445BAA" w:rsidP="00445BAA">
                              <w:pPr>
                                <w:spacing w:line="203" w:lineRule="exact"/>
                                <w:rPr>
                                  <w:sz w:val="18"/>
                                </w:rPr>
                              </w:pPr>
                              <w:r>
                                <w:rPr>
                                  <w:color w:val="404040"/>
                                  <w:w w:val="101"/>
                                  <w:sz w:val="18"/>
                                </w:rPr>
                                <w:t>0</w:t>
                              </w:r>
                            </w:p>
                          </w:txbxContent>
                        </wps:txbx>
                        <wps:bodyPr wrap="square" lIns="0" tIns="0" rIns="0" bIns="0" rtlCol="0">
                          <a:noAutofit/>
                        </wps:bodyPr>
                      </wps:wsp>
                      <wps:wsp>
                        <wps:cNvPr id="44" name="Textbox 276"/>
                        <wps:cNvSpPr txBox="1"/>
                        <wps:spPr>
                          <a:xfrm>
                            <a:off x="602551" y="3361802"/>
                            <a:ext cx="77470" cy="129539"/>
                          </a:xfrm>
                          <a:prstGeom prst="rect">
                            <a:avLst/>
                          </a:prstGeom>
                        </wps:spPr>
                        <wps:txbx>
                          <w:txbxContent>
                            <w:p w14:paraId="10F78B29" w14:textId="77777777" w:rsidR="00445BAA" w:rsidRDefault="00445BAA" w:rsidP="00445BAA">
                              <w:pPr>
                                <w:spacing w:line="203" w:lineRule="exact"/>
                                <w:rPr>
                                  <w:sz w:val="18"/>
                                </w:rPr>
                              </w:pPr>
                              <w:r>
                                <w:rPr>
                                  <w:color w:val="585858"/>
                                  <w:w w:val="101"/>
                                  <w:sz w:val="18"/>
                                </w:rPr>
                                <w:t>0</w:t>
                              </w:r>
                            </w:p>
                          </w:txbxContent>
                        </wps:txbx>
                        <wps:bodyPr wrap="square" lIns="0" tIns="0" rIns="0" bIns="0" rtlCol="0">
                          <a:noAutofit/>
                        </wps:bodyPr>
                      </wps:wsp>
                      <wps:wsp>
                        <wps:cNvPr id="45" name="Textbox 277"/>
                        <wps:cNvSpPr txBox="1"/>
                        <wps:spPr>
                          <a:xfrm>
                            <a:off x="1183449" y="3498074"/>
                            <a:ext cx="554355" cy="129539"/>
                          </a:xfrm>
                          <a:prstGeom prst="rect">
                            <a:avLst/>
                          </a:prstGeom>
                        </wps:spPr>
                        <wps:txbx>
                          <w:txbxContent>
                            <w:p w14:paraId="03A25760" w14:textId="77777777" w:rsidR="00445BAA" w:rsidRDefault="00445BAA" w:rsidP="00445BAA">
                              <w:pPr>
                                <w:spacing w:line="203" w:lineRule="exact"/>
                                <w:rPr>
                                  <w:sz w:val="18"/>
                                </w:rPr>
                              </w:pPr>
                              <w:r>
                                <w:rPr>
                                  <w:color w:val="585858"/>
                                  <w:spacing w:val="-2"/>
                                  <w:sz w:val="18"/>
                                </w:rPr>
                                <w:t>CNG/RNG</w:t>
                              </w:r>
                            </w:p>
                          </w:txbxContent>
                        </wps:txbx>
                        <wps:bodyPr wrap="square" lIns="0" tIns="0" rIns="0" bIns="0" rtlCol="0">
                          <a:noAutofit/>
                        </wps:bodyPr>
                      </wps:wsp>
                      <wps:wsp>
                        <wps:cNvPr id="46" name="Textbox 278"/>
                        <wps:cNvSpPr txBox="1"/>
                        <wps:spPr>
                          <a:xfrm>
                            <a:off x="2672778" y="3498074"/>
                            <a:ext cx="331470" cy="129539"/>
                          </a:xfrm>
                          <a:prstGeom prst="rect">
                            <a:avLst/>
                          </a:prstGeom>
                        </wps:spPr>
                        <wps:txbx>
                          <w:txbxContent>
                            <w:p w14:paraId="05FEA930" w14:textId="77777777" w:rsidR="00445BAA" w:rsidRDefault="00445BAA" w:rsidP="00445BAA">
                              <w:pPr>
                                <w:spacing w:line="203" w:lineRule="exact"/>
                                <w:rPr>
                                  <w:sz w:val="18"/>
                                </w:rPr>
                              </w:pPr>
                              <w:r>
                                <w:rPr>
                                  <w:color w:val="585858"/>
                                  <w:spacing w:val="-2"/>
                                  <w:sz w:val="18"/>
                                </w:rPr>
                                <w:t>Diesel</w:t>
                              </w:r>
                            </w:p>
                          </w:txbxContent>
                        </wps:txbx>
                        <wps:bodyPr wrap="square" lIns="0" tIns="0" rIns="0" bIns="0" rtlCol="0">
                          <a:noAutofit/>
                        </wps:bodyPr>
                      </wps:wsp>
                      <wps:wsp>
                        <wps:cNvPr id="47" name="Textbox 279"/>
                        <wps:cNvSpPr txBox="1"/>
                        <wps:spPr>
                          <a:xfrm>
                            <a:off x="3742880" y="3498074"/>
                            <a:ext cx="946785" cy="129539"/>
                          </a:xfrm>
                          <a:prstGeom prst="rect">
                            <a:avLst/>
                          </a:prstGeom>
                        </wps:spPr>
                        <wps:txbx>
                          <w:txbxContent>
                            <w:p w14:paraId="15AD4977" w14:textId="042DF459" w:rsidR="00445BAA" w:rsidRDefault="00445BAA" w:rsidP="00445BAA">
                              <w:pPr>
                                <w:spacing w:line="203" w:lineRule="exact"/>
                                <w:rPr>
                                  <w:sz w:val="18"/>
                                </w:rPr>
                              </w:pPr>
                              <w:r>
                                <w:rPr>
                                  <w:color w:val="585858"/>
                                  <w:sz w:val="18"/>
                                </w:rPr>
                                <w:t>Gray/Green</w:t>
                              </w:r>
                              <w:r>
                                <w:rPr>
                                  <w:color w:val="585858"/>
                                  <w:spacing w:val="-10"/>
                                  <w:sz w:val="18"/>
                                </w:rPr>
                                <w:t xml:space="preserve"> </w:t>
                              </w:r>
                              <w:r>
                                <w:rPr>
                                  <w:color w:val="585858"/>
                                  <w:spacing w:val="-4"/>
                                  <w:sz w:val="18"/>
                                </w:rPr>
                                <w:t>FCEB</w:t>
                              </w:r>
                            </w:p>
                          </w:txbxContent>
                        </wps:txbx>
                        <wps:bodyPr wrap="square" lIns="0" tIns="0" rIns="0" bIns="0" rtlCol="0">
                          <a:noAutofit/>
                        </wps:bodyPr>
                      </wps:wsp>
                      <wps:wsp>
                        <wps:cNvPr id="48" name="Textbox 280"/>
                        <wps:cNvSpPr txBox="1"/>
                        <wps:spPr>
                          <a:xfrm>
                            <a:off x="5473890" y="3498074"/>
                            <a:ext cx="241300" cy="129539"/>
                          </a:xfrm>
                          <a:prstGeom prst="rect">
                            <a:avLst/>
                          </a:prstGeom>
                        </wps:spPr>
                        <wps:txbx>
                          <w:txbxContent>
                            <w:p w14:paraId="33E82875" w14:textId="77777777" w:rsidR="00445BAA" w:rsidRDefault="00445BAA" w:rsidP="00445BAA">
                              <w:pPr>
                                <w:spacing w:line="203" w:lineRule="exact"/>
                                <w:rPr>
                                  <w:sz w:val="18"/>
                                </w:rPr>
                              </w:pPr>
                              <w:r>
                                <w:rPr>
                                  <w:color w:val="585858"/>
                                  <w:spacing w:val="-5"/>
                                  <w:sz w:val="18"/>
                                </w:rPr>
                                <w:t>BEB</w:t>
                              </w:r>
                            </w:p>
                          </w:txbxContent>
                        </wps:txbx>
                        <wps:bodyPr wrap="square" lIns="0" tIns="0" rIns="0" bIns="0" rtlCol="0">
                          <a:noAutofit/>
                        </wps:bodyPr>
                      </wps:wsp>
                    </wpg:wgp>
                  </a:graphicData>
                </a:graphic>
              </wp:inline>
            </w:drawing>
          </mc:Choice>
          <mc:Fallback>
            <w:pict>
              <v:group w14:anchorId="74629BF3" id="Group 30" o:spid="_x0000_s1027" style="width:505.45pt;height:292.35pt;mso-position-horizontal-relative:char;mso-position-vertical-relative:line" coordorigin="47,47" coordsize="64096,3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">
                <v:shape id="Graphic 263" o:spid="_x0000_s1028" style="position:absolute;left:7638;top:6911;width:55112;height:21921;visibility:visible;mso-wrap-style:square;v-text-anchor:top" coordsize="5511165,21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" path="m,2191512r472694,em905510,2191512r4605401,em,1642872r472694,em905510,1642872r4605401,em,1094231r472694,em905510,1094231r4605401,em,548640r472694,em905510,548640r4605401,em,l472694,em905510,l5510911,e" filled="f" strokecolor="#d9d9d9">
                  <v:path arrowok="t"/>
                </v:shape>
                <v:shape id="Graphic 264" o:spid="_x0000_s1029" style="position:absolute;left:12365;top:6515;width:18110;height:27775;visibility:visible;mso-wrap-style:square;v-text-anchor:top" coordsize="1811020,27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" path="m432816,l,,,2777363r432816,l432816,xem1810512,2535936r-432816,l1377696,2777363r432816,l1810512,2535936xe" fillcolor="#2c3b77" stroked="f">
                  <v:path arrowok="t"/>
                </v:shape>
                <v:shape id="Graphic 265" o:spid="_x0000_s1030" style="position:absolute;left:7638;top:1444;width:55112;height:32849;visibility:visible;mso-wrap-style:square;v-text-anchor:top" coordsize="5511165,328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" path="m,3284474r5510911,em,l5510911,e" filled="f" strokecolor="#d9d9d9">
                  <v:path arrowok="t"/>
                </v:shape>
                <v:shape id="Graphic 266" o:spid="_x0000_s1031" style="position:absolute;left:47;top:47;width:64097;height:37033;visibility:visible;mso-wrap-style:square;v-text-anchor:top" coordsize="6409690,37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" path="m,3703320r6409690,l6409690,,,,,3703320xe" filled="f" strokecolor="#d9d9d9">
                  <v:path arrowok="t"/>
                </v:shape>
                <v:shape id="Textbox 267" o:spid="_x0000_s1032" type="#_x0000_t202" style="position:absolute;left:12774;top:4638;width:367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C7A7BD6" w14:textId="77777777" w:rsidR="00445BAA" w:rsidRDefault="00445BAA" w:rsidP="00445BAA">
                        <w:pPr>
                          <w:spacing w:line="204" w:lineRule="exact"/>
                          <w:rPr>
                            <w:sz w:val="18"/>
                          </w:rPr>
                        </w:pPr>
                        <w:r>
                          <w:rPr>
                            <w:color w:val="404040"/>
                            <w:spacing w:val="-2"/>
                            <w:sz w:val="18"/>
                          </w:rPr>
                          <w:t>50,758</w:t>
                        </w:r>
                      </w:p>
                    </w:txbxContent>
                  </v:textbox>
                </v:shape>
                <v:shape id="Textbox 268" o:spid="_x0000_s1033" type="#_x0000_t202" style="position:absolute;left:3480;top:6241;width:330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1EDB2CA" w14:textId="77777777" w:rsidR="00445BAA" w:rsidRDefault="00445BAA" w:rsidP="00445BAA">
                        <w:pPr>
                          <w:spacing w:line="203" w:lineRule="exact"/>
                          <w:rPr>
                            <w:sz w:val="18"/>
                          </w:rPr>
                        </w:pPr>
                        <w:r>
                          <w:rPr>
                            <w:color w:val="585858"/>
                            <w:spacing w:val="-2"/>
                            <w:sz w:val="18"/>
                          </w:rPr>
                          <w:t>50000</w:t>
                        </w:r>
                      </w:p>
                    </w:txbxContent>
                  </v:textbox>
                </v:shape>
                <v:shape id="Textbox 269" o:spid="_x0000_s1034" type="#_x0000_t202" style="position:absolute;left:3480;top:11715;width:330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6F08E2E" w14:textId="77777777" w:rsidR="00445BAA" w:rsidRDefault="00445BAA" w:rsidP="00445BAA">
                        <w:pPr>
                          <w:spacing w:line="203" w:lineRule="exact"/>
                          <w:rPr>
                            <w:sz w:val="18"/>
                          </w:rPr>
                        </w:pPr>
                        <w:r>
                          <w:rPr>
                            <w:color w:val="585858"/>
                            <w:spacing w:val="-2"/>
                            <w:sz w:val="18"/>
                          </w:rPr>
                          <w:t>40000</w:t>
                        </w:r>
                      </w:p>
                    </w:txbxContent>
                  </v:textbox>
                </v:shape>
                <v:shape id="Textbox 270" o:spid="_x0000_s1035" type="#_x0000_t202" style="position:absolute;left:3480;top:17193;width:330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58B474B" w14:textId="77777777" w:rsidR="00445BAA" w:rsidRDefault="00445BAA" w:rsidP="00445BAA">
                        <w:pPr>
                          <w:spacing w:line="203" w:lineRule="exact"/>
                          <w:rPr>
                            <w:sz w:val="18"/>
                          </w:rPr>
                        </w:pPr>
                        <w:r>
                          <w:rPr>
                            <w:color w:val="585858"/>
                            <w:spacing w:val="-2"/>
                            <w:sz w:val="18"/>
                          </w:rPr>
                          <w:t>30000</w:t>
                        </w:r>
                      </w:p>
                    </w:txbxContent>
                  </v:textbox>
                </v:shape>
                <v:shape id="Textbox 271" o:spid="_x0000_s1036" type="#_x0000_t202" style="position:absolute;left:3480;top:22666;width:330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B3AC4C9" w14:textId="77777777" w:rsidR="00445BAA" w:rsidRDefault="00445BAA" w:rsidP="00445BAA">
                        <w:pPr>
                          <w:spacing w:line="203" w:lineRule="exact"/>
                          <w:rPr>
                            <w:sz w:val="18"/>
                          </w:rPr>
                        </w:pPr>
                        <w:r>
                          <w:rPr>
                            <w:color w:val="585858"/>
                            <w:spacing w:val="-2"/>
                            <w:sz w:val="18"/>
                          </w:rPr>
                          <w:t>20000</w:t>
                        </w:r>
                      </w:p>
                    </w:txbxContent>
                  </v:textbox>
                </v:shape>
                <v:shape id="Textbox 272" o:spid="_x0000_s1037" type="#_x0000_t202" style="position:absolute;left:3480;top:28144;width:330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89C4A3B" w14:textId="77777777" w:rsidR="00445BAA" w:rsidRDefault="00445BAA" w:rsidP="00445BAA">
                        <w:pPr>
                          <w:spacing w:line="203" w:lineRule="exact"/>
                          <w:rPr>
                            <w:sz w:val="18"/>
                          </w:rPr>
                        </w:pPr>
                        <w:r>
                          <w:rPr>
                            <w:color w:val="585858"/>
                            <w:spacing w:val="-2"/>
                            <w:sz w:val="18"/>
                          </w:rPr>
                          <w:t>10000</w:t>
                        </w:r>
                      </w:p>
                    </w:txbxContent>
                  </v:textbox>
                </v:shape>
                <v:shape id="Textbox 273" o:spid="_x0000_s1038" type="#_x0000_t202" style="position:absolute;left:26858;top:30018;width:302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ED892F9" w14:textId="77777777" w:rsidR="00445BAA" w:rsidRDefault="00445BAA" w:rsidP="00445BAA">
                        <w:pPr>
                          <w:spacing w:line="203" w:lineRule="exact"/>
                          <w:rPr>
                            <w:sz w:val="18"/>
                          </w:rPr>
                        </w:pPr>
                        <w:r>
                          <w:rPr>
                            <w:color w:val="404040"/>
                            <w:spacing w:val="-2"/>
                            <w:sz w:val="18"/>
                          </w:rPr>
                          <w:t>4,414</w:t>
                        </w:r>
                      </w:p>
                    </w:txbxContent>
                  </v:textbox>
                </v:shape>
                <v:shape id="Textbox 274" o:spid="_x0000_s1039" type="#_x0000_t202" style="position:absolute;left:41769;top:32435;width:77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58B369E" w14:textId="77777777" w:rsidR="00445BAA" w:rsidRDefault="00445BAA" w:rsidP="00445BAA">
                        <w:pPr>
                          <w:spacing w:line="203" w:lineRule="exact"/>
                          <w:rPr>
                            <w:sz w:val="18"/>
                          </w:rPr>
                        </w:pPr>
                        <w:r>
                          <w:rPr>
                            <w:color w:val="404040"/>
                            <w:w w:val="101"/>
                            <w:sz w:val="18"/>
                          </w:rPr>
                          <w:t>0</w:t>
                        </w:r>
                      </w:p>
                    </w:txbxContent>
                  </v:textbox>
                </v:shape>
                <v:shape id="Textbox 275" o:spid="_x0000_s1040" type="#_x0000_t202" style="position:absolute;left:55552;top:32435;width:77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8BB3547" w14:textId="77777777" w:rsidR="00445BAA" w:rsidRDefault="00445BAA" w:rsidP="00445BAA">
                        <w:pPr>
                          <w:spacing w:line="203" w:lineRule="exact"/>
                          <w:rPr>
                            <w:sz w:val="18"/>
                          </w:rPr>
                        </w:pPr>
                        <w:r>
                          <w:rPr>
                            <w:color w:val="404040"/>
                            <w:w w:val="101"/>
                            <w:sz w:val="18"/>
                          </w:rPr>
                          <w:t>0</w:t>
                        </w:r>
                      </w:p>
                    </w:txbxContent>
                  </v:textbox>
                </v:shape>
                <v:shape id="Textbox 276" o:spid="_x0000_s1041" type="#_x0000_t202" style="position:absolute;left:6025;top:33618;width:77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0F78B29" w14:textId="77777777" w:rsidR="00445BAA" w:rsidRDefault="00445BAA" w:rsidP="00445BAA">
                        <w:pPr>
                          <w:spacing w:line="203" w:lineRule="exact"/>
                          <w:rPr>
                            <w:sz w:val="18"/>
                          </w:rPr>
                        </w:pPr>
                        <w:r>
                          <w:rPr>
                            <w:color w:val="585858"/>
                            <w:w w:val="101"/>
                            <w:sz w:val="18"/>
                          </w:rPr>
                          <w:t>0</w:t>
                        </w:r>
                      </w:p>
                    </w:txbxContent>
                  </v:textbox>
                </v:shape>
                <v:shape id="Textbox 277" o:spid="_x0000_s1042" type="#_x0000_t202" style="position:absolute;left:11834;top:34980;width:554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3A25760" w14:textId="77777777" w:rsidR="00445BAA" w:rsidRDefault="00445BAA" w:rsidP="00445BAA">
                        <w:pPr>
                          <w:spacing w:line="203" w:lineRule="exact"/>
                          <w:rPr>
                            <w:sz w:val="18"/>
                          </w:rPr>
                        </w:pPr>
                        <w:r>
                          <w:rPr>
                            <w:color w:val="585858"/>
                            <w:spacing w:val="-2"/>
                            <w:sz w:val="18"/>
                          </w:rPr>
                          <w:t>CNG/RNG</w:t>
                        </w:r>
                      </w:p>
                    </w:txbxContent>
                  </v:textbox>
                </v:shape>
                <v:shape id="Textbox 278" o:spid="_x0000_s1043" type="#_x0000_t202" style="position:absolute;left:26727;top:34980;width:331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5FEA930" w14:textId="77777777" w:rsidR="00445BAA" w:rsidRDefault="00445BAA" w:rsidP="00445BAA">
                        <w:pPr>
                          <w:spacing w:line="203" w:lineRule="exact"/>
                          <w:rPr>
                            <w:sz w:val="18"/>
                          </w:rPr>
                        </w:pPr>
                        <w:r>
                          <w:rPr>
                            <w:color w:val="585858"/>
                            <w:spacing w:val="-2"/>
                            <w:sz w:val="18"/>
                          </w:rPr>
                          <w:t>Diesel</w:t>
                        </w:r>
                      </w:p>
                    </w:txbxContent>
                  </v:textbox>
                </v:shape>
                <v:shape id="Textbox 279" o:spid="_x0000_s1044" type="#_x0000_t202" style="position:absolute;left:37428;top:34980;width:946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5AD4977" w14:textId="042DF459" w:rsidR="00445BAA" w:rsidRDefault="00445BAA" w:rsidP="00445BAA">
                        <w:pPr>
                          <w:spacing w:line="203" w:lineRule="exact"/>
                          <w:rPr>
                            <w:sz w:val="18"/>
                          </w:rPr>
                        </w:pPr>
                        <w:r>
                          <w:rPr>
                            <w:color w:val="585858"/>
                            <w:sz w:val="18"/>
                          </w:rPr>
                          <w:t>Gray/Green</w:t>
                        </w:r>
                        <w:r>
                          <w:rPr>
                            <w:color w:val="585858"/>
                            <w:spacing w:val="-10"/>
                            <w:sz w:val="18"/>
                          </w:rPr>
                          <w:t xml:space="preserve"> </w:t>
                        </w:r>
                        <w:r>
                          <w:rPr>
                            <w:color w:val="585858"/>
                            <w:spacing w:val="-4"/>
                            <w:sz w:val="18"/>
                          </w:rPr>
                          <w:t>FCEB</w:t>
                        </w:r>
                      </w:p>
                    </w:txbxContent>
                  </v:textbox>
                </v:shape>
                <v:shape id="Textbox 280" o:spid="_x0000_s1045" type="#_x0000_t202" style="position:absolute;left:54738;top:34980;width:241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3E82875" w14:textId="77777777" w:rsidR="00445BAA" w:rsidRDefault="00445BAA" w:rsidP="00445BAA">
                        <w:pPr>
                          <w:spacing w:line="203" w:lineRule="exact"/>
                          <w:rPr>
                            <w:sz w:val="18"/>
                          </w:rPr>
                        </w:pPr>
                        <w:r>
                          <w:rPr>
                            <w:color w:val="585858"/>
                            <w:spacing w:val="-5"/>
                            <w:sz w:val="18"/>
                          </w:rPr>
                          <w:t>BEB</w:t>
                        </w:r>
                      </w:p>
                    </w:txbxContent>
                  </v:textbox>
                </v:shape>
                <w10:anchorlock/>
              </v:group>
            </w:pict>
          </mc:Fallback>
        </mc:AlternateContent>
      </w:r>
    </w:p>
    <w:p w14:paraId="7F9351AE" w14:textId="6BF9F27A" w:rsidR="001C3B8A" w:rsidRDefault="001C3B8A" w:rsidP="001C3B8A">
      <w:bookmarkStart w:id="35" w:name="OLE_LINK16"/>
      <w:r>
        <w:t>The level of carbon monoxide emissions was directly related to the fleet composition and not based on the composition of the electric grid. A total transition to FCEBs or BEBs will eliminate localized carbon monoxide emission</w:t>
      </w:r>
      <w:r w:rsidR="006B5EB1">
        <w:t>s</w:t>
      </w:r>
      <w:r>
        <w:t xml:space="preserve">, while transitioning to CNG/RNG buses will result in a 1,050% increase in carbon monoxide emissions as compared to a diesel fleet. </w:t>
      </w:r>
    </w:p>
    <w:bookmarkEnd w:id="35"/>
    <w:p w14:paraId="51B17759" w14:textId="77777777" w:rsidR="001C3B8A" w:rsidRPr="00F41C17" w:rsidRDefault="001C3B8A" w:rsidP="001C3B8A">
      <w:pPr>
        <w:jc w:val="center"/>
      </w:pPr>
    </w:p>
    <w:p w14:paraId="203C6F5F" w14:textId="19900DEC" w:rsidR="001C3B8A" w:rsidRDefault="001C3B8A" w:rsidP="001C3B8A">
      <w:pPr>
        <w:pStyle w:val="Caption"/>
        <w:keepNext/>
        <w:jc w:val="center"/>
      </w:pPr>
      <w:bookmarkStart w:id="36" w:name="_Ref134163079"/>
      <w:bookmarkStart w:id="37" w:name="_Toc134183740"/>
      <w:r>
        <w:t xml:space="preserve">Figure </w:t>
      </w:r>
      <w:r>
        <w:fldChar w:fldCharType="begin"/>
      </w:r>
      <w:r>
        <w:instrText xml:space="preserve"> SEQ Figure \* ARABIC </w:instrText>
      </w:r>
      <w:r>
        <w:fldChar w:fldCharType="separate"/>
      </w:r>
      <w:r>
        <w:rPr>
          <w:noProof/>
        </w:rPr>
        <w:t>5</w:t>
      </w:r>
      <w:r>
        <w:rPr>
          <w:noProof/>
        </w:rPr>
        <w:fldChar w:fldCharType="end"/>
      </w:r>
      <w:bookmarkEnd w:id="36"/>
      <w:r>
        <w:t xml:space="preserve">: </w:t>
      </w:r>
      <w:r w:rsidRPr="00837E99">
        <w:t>Nitro</w:t>
      </w:r>
      <w:r w:rsidR="002127F4">
        <w:t>gen</w:t>
      </w:r>
      <w:r w:rsidRPr="00837E99">
        <w:t xml:space="preserve"> Oxide (NO</w:t>
      </w:r>
      <w:r w:rsidRPr="00CD1456">
        <w:rPr>
          <w:vertAlign w:val="subscript"/>
        </w:rPr>
        <w:t>x</w:t>
      </w:r>
      <w:r w:rsidRPr="00837E99">
        <w:t>) Emissions at Full Transition</w:t>
      </w:r>
      <w:bookmarkEnd w:id="37"/>
    </w:p>
    <w:p w14:paraId="4989416A" w14:textId="2595257F" w:rsidR="001C3B8A" w:rsidRDefault="00D771B2" w:rsidP="001C3B8A">
      <w:pPr>
        <w:jc w:val="center"/>
      </w:pPr>
      <w:r w:rsidRPr="00D771B2">
        <w:rPr>
          <w:rFonts w:ascii="Times New Roman" w:eastAsia="Calibri" w:hAnsi="Times New Roman" w:cs="Times New Roman"/>
          <w:noProof/>
          <w:sz w:val="24"/>
          <w:szCs w:val="24"/>
        </w:rPr>
        <mc:AlternateContent>
          <mc:Choice Requires="wpg">
            <w:drawing>
              <wp:inline distT="0" distB="0" distL="0" distR="0" wp14:anchorId="65CC47BC" wp14:editId="5820DD11">
                <wp:extent cx="6409690" cy="3703320"/>
                <wp:effectExtent l="0" t="0" r="10160" b="11430"/>
                <wp:docPr id="49" name="Group 49"/>
                <wp:cNvGraphicFramePr/>
                <a:graphic xmlns:a="http://schemas.openxmlformats.org/drawingml/2006/main">
                  <a:graphicData uri="http://schemas.microsoft.com/office/word/2010/wordprocessingGroup">
                    <wpg:wgp>
                      <wpg:cNvGrpSpPr/>
                      <wpg:grpSpPr>
                        <a:xfrm>
                          <a:off x="0" y="0"/>
                          <a:ext cx="6409690" cy="3703320"/>
                          <a:chOff x="0" y="0"/>
                          <a:chExt cx="6409690" cy="3703320"/>
                        </a:xfrm>
                      </wpg:grpSpPr>
                      <wps:wsp>
                        <wps:cNvPr id="50" name="Graphic 288"/>
                        <wps:cNvSpPr/>
                        <wps:spPr>
                          <a:xfrm>
                            <a:off x="727202" y="610235"/>
                            <a:ext cx="5542915" cy="2344420"/>
                          </a:xfrm>
                          <a:custGeom>
                            <a:avLst/>
                            <a:gdLst/>
                            <a:ahLst/>
                            <a:cxnLst/>
                            <a:rect l="l" t="t" r="r" b="b"/>
                            <a:pathLst>
                              <a:path w="5542915" h="2344420">
                                <a:moveTo>
                                  <a:pt x="0" y="2343912"/>
                                </a:moveTo>
                                <a:lnTo>
                                  <a:pt x="477139" y="2343912"/>
                                </a:lnTo>
                              </a:path>
                              <a:path w="5542915" h="2344420">
                                <a:moveTo>
                                  <a:pt x="909954" y="2343912"/>
                                </a:moveTo>
                                <a:lnTo>
                                  <a:pt x="5542788" y="2343912"/>
                                </a:lnTo>
                              </a:path>
                              <a:path w="5542915" h="2344420">
                                <a:moveTo>
                                  <a:pt x="0" y="1874520"/>
                                </a:moveTo>
                                <a:lnTo>
                                  <a:pt x="477139" y="1874520"/>
                                </a:lnTo>
                              </a:path>
                              <a:path w="5542915" h="2344420">
                                <a:moveTo>
                                  <a:pt x="909954" y="1874520"/>
                                </a:moveTo>
                                <a:lnTo>
                                  <a:pt x="5542788" y="1874520"/>
                                </a:lnTo>
                              </a:path>
                              <a:path w="5542915" h="2344420">
                                <a:moveTo>
                                  <a:pt x="0" y="1405127"/>
                                </a:moveTo>
                                <a:lnTo>
                                  <a:pt x="477139" y="1405127"/>
                                </a:lnTo>
                              </a:path>
                              <a:path w="5542915" h="2344420">
                                <a:moveTo>
                                  <a:pt x="909954" y="1405127"/>
                                </a:moveTo>
                                <a:lnTo>
                                  <a:pt x="5542788" y="1405127"/>
                                </a:lnTo>
                              </a:path>
                              <a:path w="5542915" h="2344420">
                                <a:moveTo>
                                  <a:pt x="0" y="935736"/>
                                </a:moveTo>
                                <a:lnTo>
                                  <a:pt x="477139" y="935736"/>
                                </a:lnTo>
                              </a:path>
                              <a:path w="5542915" h="2344420">
                                <a:moveTo>
                                  <a:pt x="909954" y="935736"/>
                                </a:moveTo>
                                <a:lnTo>
                                  <a:pt x="5542788" y="935736"/>
                                </a:lnTo>
                              </a:path>
                              <a:path w="5542915" h="2344420">
                                <a:moveTo>
                                  <a:pt x="0" y="469392"/>
                                </a:moveTo>
                                <a:lnTo>
                                  <a:pt x="477139" y="469392"/>
                                </a:lnTo>
                              </a:path>
                              <a:path w="5542915" h="2344420">
                                <a:moveTo>
                                  <a:pt x="909954" y="469392"/>
                                </a:moveTo>
                                <a:lnTo>
                                  <a:pt x="5542788" y="469392"/>
                                </a:lnTo>
                              </a:path>
                              <a:path w="5542915" h="2344420">
                                <a:moveTo>
                                  <a:pt x="0" y="0"/>
                                </a:moveTo>
                                <a:lnTo>
                                  <a:pt x="477139" y="0"/>
                                </a:lnTo>
                              </a:path>
                              <a:path w="5542915" h="2344420">
                                <a:moveTo>
                                  <a:pt x="909954" y="0"/>
                                </a:moveTo>
                                <a:lnTo>
                                  <a:pt x="5542788" y="0"/>
                                </a:lnTo>
                              </a:path>
                            </a:pathLst>
                          </a:custGeom>
                          <a:ln w="9525">
                            <a:solidFill>
                              <a:srgbClr val="D9D9D9"/>
                            </a:solidFill>
                            <a:prstDash val="solid"/>
                          </a:ln>
                        </wps:spPr>
                        <wps:bodyPr wrap="square" lIns="0" tIns="0" rIns="0" bIns="0" rtlCol="0">
                          <a:prstTxWarp prst="textNoShape">
                            <a:avLst/>
                          </a:prstTxWarp>
                          <a:noAutofit/>
                        </wps:bodyPr>
                      </wps:wsp>
                      <wps:wsp>
                        <wps:cNvPr id="51" name="Graphic 289"/>
                        <wps:cNvSpPr/>
                        <wps:spPr>
                          <a:xfrm>
                            <a:off x="1204341" y="399923"/>
                            <a:ext cx="1819910" cy="3024505"/>
                          </a:xfrm>
                          <a:custGeom>
                            <a:avLst/>
                            <a:gdLst/>
                            <a:ahLst/>
                            <a:cxnLst/>
                            <a:rect l="l" t="t" r="r" b="b"/>
                            <a:pathLst>
                              <a:path w="1819910" h="3024505">
                                <a:moveTo>
                                  <a:pt x="432816" y="0"/>
                                </a:moveTo>
                                <a:lnTo>
                                  <a:pt x="0" y="0"/>
                                </a:lnTo>
                                <a:lnTo>
                                  <a:pt x="0" y="3024251"/>
                                </a:lnTo>
                                <a:lnTo>
                                  <a:pt x="432816" y="3024251"/>
                                </a:lnTo>
                                <a:lnTo>
                                  <a:pt x="432816" y="0"/>
                                </a:lnTo>
                                <a:close/>
                              </a:path>
                              <a:path w="1819910" h="3024505">
                                <a:moveTo>
                                  <a:pt x="1819656" y="2874264"/>
                                </a:moveTo>
                                <a:lnTo>
                                  <a:pt x="1383792" y="2874264"/>
                                </a:lnTo>
                                <a:lnTo>
                                  <a:pt x="1383792" y="3024251"/>
                                </a:lnTo>
                                <a:lnTo>
                                  <a:pt x="1819656" y="3024251"/>
                                </a:lnTo>
                                <a:lnTo>
                                  <a:pt x="1819656" y="2874264"/>
                                </a:lnTo>
                                <a:close/>
                              </a:path>
                            </a:pathLst>
                          </a:custGeom>
                          <a:solidFill>
                            <a:srgbClr val="2C3B77"/>
                          </a:solidFill>
                        </wps:spPr>
                        <wps:bodyPr wrap="square" lIns="0" tIns="0" rIns="0" bIns="0" rtlCol="0">
                          <a:prstTxWarp prst="textNoShape">
                            <a:avLst/>
                          </a:prstTxWarp>
                          <a:noAutofit/>
                        </wps:bodyPr>
                      </wps:wsp>
                      <wps:wsp>
                        <wps:cNvPr id="52" name="Graphic 290"/>
                        <wps:cNvSpPr/>
                        <wps:spPr>
                          <a:xfrm>
                            <a:off x="727202" y="139700"/>
                            <a:ext cx="5542915" cy="3284854"/>
                          </a:xfrm>
                          <a:custGeom>
                            <a:avLst/>
                            <a:gdLst/>
                            <a:ahLst/>
                            <a:cxnLst/>
                            <a:rect l="l" t="t" r="r" b="b"/>
                            <a:pathLst>
                              <a:path w="5542915" h="3284854">
                                <a:moveTo>
                                  <a:pt x="0" y="3284474"/>
                                </a:moveTo>
                                <a:lnTo>
                                  <a:pt x="5542788" y="3284474"/>
                                </a:lnTo>
                              </a:path>
                              <a:path w="5542915" h="3284854">
                                <a:moveTo>
                                  <a:pt x="0" y="0"/>
                                </a:moveTo>
                                <a:lnTo>
                                  <a:pt x="5542788" y="0"/>
                                </a:lnTo>
                              </a:path>
                            </a:pathLst>
                          </a:custGeom>
                          <a:ln w="9525">
                            <a:solidFill>
                              <a:srgbClr val="D9D9D9"/>
                            </a:solidFill>
                            <a:prstDash val="solid"/>
                          </a:ln>
                        </wps:spPr>
                        <wps:bodyPr wrap="square" lIns="0" tIns="0" rIns="0" bIns="0" rtlCol="0">
                          <a:prstTxWarp prst="textNoShape">
                            <a:avLst/>
                          </a:prstTxWarp>
                          <a:noAutofit/>
                        </wps:bodyPr>
                      </wps:wsp>
                      <wps:wsp>
                        <wps:cNvPr id="53" name="Graphic 291"/>
                        <wps:cNvSpPr/>
                        <wps:spPr>
                          <a:xfrm>
                            <a:off x="0" y="0"/>
                            <a:ext cx="6409690" cy="3703320"/>
                          </a:xfrm>
                          <a:custGeom>
                            <a:avLst/>
                            <a:gdLst/>
                            <a:ahLst/>
                            <a:cxnLst/>
                            <a:rect l="l" t="t" r="r" b="b"/>
                            <a:pathLst>
                              <a:path w="6409690" h="3703320">
                                <a:moveTo>
                                  <a:pt x="0" y="3703320"/>
                                </a:moveTo>
                                <a:lnTo>
                                  <a:pt x="6409690" y="3703320"/>
                                </a:lnTo>
                                <a:lnTo>
                                  <a:pt x="6409690" y="0"/>
                                </a:lnTo>
                                <a:lnTo>
                                  <a:pt x="0" y="0"/>
                                </a:lnTo>
                                <a:lnTo>
                                  <a:pt x="0" y="3703320"/>
                                </a:lnTo>
                                <a:close/>
                              </a:path>
                            </a:pathLst>
                          </a:custGeom>
                          <a:ln w="9525">
                            <a:solidFill>
                              <a:srgbClr val="D9D9D9"/>
                            </a:solidFill>
                            <a:prstDash val="solid"/>
                          </a:ln>
                        </wps:spPr>
                        <wps:bodyPr wrap="square" lIns="0" tIns="0" rIns="0" bIns="0" rtlCol="0">
                          <a:prstTxWarp prst="textNoShape">
                            <a:avLst/>
                          </a:prstTxWarp>
                          <a:noAutofit/>
                        </wps:bodyPr>
                      </wps:wsp>
                      <wps:wsp>
                        <wps:cNvPr id="54" name="Textbox 292"/>
                        <wps:cNvSpPr txBox="1"/>
                        <wps:spPr>
                          <a:xfrm>
                            <a:off x="343281" y="71678"/>
                            <a:ext cx="299720" cy="129539"/>
                          </a:xfrm>
                          <a:prstGeom prst="rect">
                            <a:avLst/>
                          </a:prstGeom>
                        </wps:spPr>
                        <wps:txbx>
                          <w:txbxContent>
                            <w:p w14:paraId="260096BD" w14:textId="77777777" w:rsidR="00D771B2" w:rsidRDefault="00D771B2" w:rsidP="00D771B2">
                              <w:pPr>
                                <w:spacing w:line="203" w:lineRule="exact"/>
                                <w:rPr>
                                  <w:sz w:val="18"/>
                                </w:rPr>
                              </w:pPr>
                              <w:r>
                                <w:rPr>
                                  <w:color w:val="585858"/>
                                  <w:spacing w:val="-2"/>
                                  <w:sz w:val="18"/>
                                </w:rPr>
                                <w:t>7,000</w:t>
                              </w:r>
                            </w:p>
                          </w:txbxContent>
                        </wps:txbx>
                        <wps:bodyPr wrap="square" lIns="0" tIns="0" rIns="0" bIns="0" rtlCol="0">
                          <a:noAutofit/>
                        </wps:bodyPr>
                      </wps:wsp>
                      <wps:wsp>
                        <wps:cNvPr id="55" name="Textbox 293"/>
                        <wps:cNvSpPr txBox="1"/>
                        <wps:spPr>
                          <a:xfrm>
                            <a:off x="1275080" y="214045"/>
                            <a:ext cx="302895" cy="129539"/>
                          </a:xfrm>
                          <a:prstGeom prst="rect">
                            <a:avLst/>
                          </a:prstGeom>
                        </wps:spPr>
                        <wps:txbx>
                          <w:txbxContent>
                            <w:p w14:paraId="43DF4D09" w14:textId="77777777" w:rsidR="00D771B2" w:rsidRDefault="00D771B2" w:rsidP="00D771B2">
                              <w:pPr>
                                <w:spacing w:line="203" w:lineRule="exact"/>
                                <w:rPr>
                                  <w:sz w:val="18"/>
                                </w:rPr>
                              </w:pPr>
                              <w:r>
                                <w:rPr>
                                  <w:color w:val="404040"/>
                                  <w:spacing w:val="-2"/>
                                  <w:sz w:val="18"/>
                                </w:rPr>
                                <w:t>6,445</w:t>
                              </w:r>
                            </w:p>
                          </w:txbxContent>
                        </wps:txbx>
                        <wps:bodyPr wrap="square" lIns="0" tIns="0" rIns="0" bIns="0" rtlCol="0">
                          <a:noAutofit/>
                        </wps:bodyPr>
                      </wps:wsp>
                      <wps:wsp>
                        <wps:cNvPr id="56" name="Textbox 294"/>
                        <wps:cNvSpPr txBox="1"/>
                        <wps:spPr>
                          <a:xfrm>
                            <a:off x="343281" y="541070"/>
                            <a:ext cx="299720" cy="129539"/>
                          </a:xfrm>
                          <a:prstGeom prst="rect">
                            <a:avLst/>
                          </a:prstGeom>
                        </wps:spPr>
                        <wps:txbx>
                          <w:txbxContent>
                            <w:p w14:paraId="240EFED0" w14:textId="77777777" w:rsidR="00D771B2" w:rsidRDefault="00D771B2" w:rsidP="00D771B2">
                              <w:pPr>
                                <w:spacing w:line="203" w:lineRule="exact"/>
                                <w:rPr>
                                  <w:sz w:val="18"/>
                                </w:rPr>
                              </w:pPr>
                              <w:r>
                                <w:rPr>
                                  <w:color w:val="585858"/>
                                  <w:spacing w:val="-2"/>
                                  <w:sz w:val="18"/>
                                </w:rPr>
                                <w:t>6,000</w:t>
                              </w:r>
                            </w:p>
                          </w:txbxContent>
                        </wps:txbx>
                        <wps:bodyPr wrap="square" lIns="0" tIns="0" rIns="0" bIns="0" rtlCol="0">
                          <a:noAutofit/>
                        </wps:bodyPr>
                      </wps:wsp>
                      <wps:wsp>
                        <wps:cNvPr id="57" name="Textbox 295"/>
                        <wps:cNvSpPr txBox="1"/>
                        <wps:spPr>
                          <a:xfrm>
                            <a:off x="343281" y="1010462"/>
                            <a:ext cx="299720" cy="129539"/>
                          </a:xfrm>
                          <a:prstGeom prst="rect">
                            <a:avLst/>
                          </a:prstGeom>
                        </wps:spPr>
                        <wps:txbx>
                          <w:txbxContent>
                            <w:p w14:paraId="612179C4" w14:textId="77777777" w:rsidR="00D771B2" w:rsidRDefault="00D771B2" w:rsidP="00D771B2">
                              <w:pPr>
                                <w:spacing w:line="203" w:lineRule="exact"/>
                                <w:rPr>
                                  <w:sz w:val="18"/>
                                </w:rPr>
                              </w:pPr>
                              <w:r>
                                <w:rPr>
                                  <w:color w:val="585858"/>
                                  <w:spacing w:val="-2"/>
                                  <w:sz w:val="18"/>
                                </w:rPr>
                                <w:t>5,000</w:t>
                              </w:r>
                            </w:p>
                          </w:txbxContent>
                        </wps:txbx>
                        <wps:bodyPr wrap="square" lIns="0" tIns="0" rIns="0" bIns="0" rtlCol="0">
                          <a:noAutofit/>
                        </wps:bodyPr>
                      </wps:wsp>
                      <wps:wsp>
                        <wps:cNvPr id="58" name="Textbox 296"/>
                        <wps:cNvSpPr txBox="1"/>
                        <wps:spPr>
                          <a:xfrm>
                            <a:off x="343281" y="1479854"/>
                            <a:ext cx="299720" cy="129539"/>
                          </a:xfrm>
                          <a:prstGeom prst="rect">
                            <a:avLst/>
                          </a:prstGeom>
                        </wps:spPr>
                        <wps:txbx>
                          <w:txbxContent>
                            <w:p w14:paraId="03A2722F" w14:textId="77777777" w:rsidR="00D771B2" w:rsidRDefault="00D771B2" w:rsidP="00D771B2">
                              <w:pPr>
                                <w:spacing w:line="203" w:lineRule="exact"/>
                                <w:rPr>
                                  <w:sz w:val="18"/>
                                </w:rPr>
                              </w:pPr>
                              <w:r>
                                <w:rPr>
                                  <w:color w:val="585858"/>
                                  <w:spacing w:val="-2"/>
                                  <w:sz w:val="18"/>
                                </w:rPr>
                                <w:t>4,000</w:t>
                              </w:r>
                            </w:p>
                          </w:txbxContent>
                        </wps:txbx>
                        <wps:bodyPr wrap="square" lIns="0" tIns="0" rIns="0" bIns="0" rtlCol="0">
                          <a:noAutofit/>
                        </wps:bodyPr>
                      </wps:wsp>
                      <wps:wsp>
                        <wps:cNvPr id="59" name="Textbox 297"/>
                        <wps:cNvSpPr txBox="1"/>
                        <wps:spPr>
                          <a:xfrm>
                            <a:off x="343281" y="1949246"/>
                            <a:ext cx="299720" cy="129539"/>
                          </a:xfrm>
                          <a:prstGeom prst="rect">
                            <a:avLst/>
                          </a:prstGeom>
                        </wps:spPr>
                        <wps:txbx>
                          <w:txbxContent>
                            <w:p w14:paraId="33C4D717" w14:textId="77777777" w:rsidR="00D771B2" w:rsidRDefault="00D771B2" w:rsidP="00D771B2">
                              <w:pPr>
                                <w:spacing w:line="203" w:lineRule="exact"/>
                                <w:rPr>
                                  <w:sz w:val="18"/>
                                </w:rPr>
                              </w:pPr>
                              <w:r>
                                <w:rPr>
                                  <w:color w:val="585858"/>
                                  <w:spacing w:val="-2"/>
                                  <w:sz w:val="18"/>
                                </w:rPr>
                                <w:t>3,000</w:t>
                              </w:r>
                            </w:p>
                          </w:txbxContent>
                        </wps:txbx>
                        <wps:bodyPr wrap="square" lIns="0" tIns="0" rIns="0" bIns="0" rtlCol="0">
                          <a:noAutofit/>
                        </wps:bodyPr>
                      </wps:wsp>
                      <wps:wsp>
                        <wps:cNvPr id="60" name="Textbox 298"/>
                        <wps:cNvSpPr txBox="1"/>
                        <wps:spPr>
                          <a:xfrm>
                            <a:off x="343281" y="2418638"/>
                            <a:ext cx="299720" cy="129539"/>
                          </a:xfrm>
                          <a:prstGeom prst="rect">
                            <a:avLst/>
                          </a:prstGeom>
                        </wps:spPr>
                        <wps:txbx>
                          <w:txbxContent>
                            <w:p w14:paraId="3925E227" w14:textId="77777777" w:rsidR="00D771B2" w:rsidRDefault="00D771B2" w:rsidP="00D771B2">
                              <w:pPr>
                                <w:spacing w:line="203" w:lineRule="exact"/>
                                <w:rPr>
                                  <w:sz w:val="18"/>
                                </w:rPr>
                              </w:pPr>
                              <w:r>
                                <w:rPr>
                                  <w:color w:val="585858"/>
                                  <w:spacing w:val="-2"/>
                                  <w:sz w:val="18"/>
                                </w:rPr>
                                <w:t>2,000</w:t>
                              </w:r>
                            </w:p>
                          </w:txbxContent>
                        </wps:txbx>
                        <wps:bodyPr wrap="square" lIns="0" tIns="0" rIns="0" bIns="0" rtlCol="0">
                          <a:noAutofit/>
                        </wps:bodyPr>
                      </wps:wsp>
                      <wps:wsp>
                        <wps:cNvPr id="61" name="Textbox 299"/>
                        <wps:cNvSpPr txBox="1"/>
                        <wps:spPr>
                          <a:xfrm>
                            <a:off x="343281" y="2887373"/>
                            <a:ext cx="299720" cy="130175"/>
                          </a:xfrm>
                          <a:prstGeom prst="rect">
                            <a:avLst/>
                          </a:prstGeom>
                        </wps:spPr>
                        <wps:txbx>
                          <w:txbxContent>
                            <w:p w14:paraId="29D111F0" w14:textId="77777777" w:rsidR="00D771B2" w:rsidRDefault="00D771B2" w:rsidP="00D771B2">
                              <w:pPr>
                                <w:spacing w:line="204" w:lineRule="exact"/>
                                <w:rPr>
                                  <w:sz w:val="18"/>
                                </w:rPr>
                              </w:pPr>
                              <w:r>
                                <w:rPr>
                                  <w:color w:val="585858"/>
                                  <w:spacing w:val="-2"/>
                                  <w:sz w:val="18"/>
                                </w:rPr>
                                <w:t>1,000</w:t>
                              </w:r>
                            </w:p>
                          </w:txbxContent>
                        </wps:txbx>
                        <wps:bodyPr wrap="square" lIns="0" tIns="0" rIns="0" bIns="0" rtlCol="0">
                          <a:noAutofit/>
                        </wps:bodyPr>
                      </wps:wsp>
                      <wps:wsp>
                        <wps:cNvPr id="62" name="Textbox 300"/>
                        <wps:cNvSpPr txBox="1"/>
                        <wps:spPr>
                          <a:xfrm>
                            <a:off x="2710053" y="3087674"/>
                            <a:ext cx="205104" cy="129539"/>
                          </a:xfrm>
                          <a:prstGeom prst="rect">
                            <a:avLst/>
                          </a:prstGeom>
                        </wps:spPr>
                        <wps:txbx>
                          <w:txbxContent>
                            <w:p w14:paraId="15DCC2BD" w14:textId="77777777" w:rsidR="00D771B2" w:rsidRDefault="00D771B2" w:rsidP="00D771B2">
                              <w:pPr>
                                <w:spacing w:line="203" w:lineRule="exact"/>
                                <w:rPr>
                                  <w:sz w:val="18"/>
                                </w:rPr>
                              </w:pPr>
                              <w:r>
                                <w:rPr>
                                  <w:color w:val="404040"/>
                                  <w:spacing w:val="-5"/>
                                  <w:sz w:val="18"/>
                                </w:rPr>
                                <w:t>322</w:t>
                              </w:r>
                            </w:p>
                          </w:txbxContent>
                        </wps:txbx>
                        <wps:bodyPr wrap="square" lIns="0" tIns="0" rIns="0" bIns="0" rtlCol="0">
                          <a:noAutofit/>
                        </wps:bodyPr>
                      </wps:wsp>
                      <wps:wsp>
                        <wps:cNvPr id="63" name="Textbox 301"/>
                        <wps:cNvSpPr txBox="1"/>
                        <wps:spPr>
                          <a:xfrm>
                            <a:off x="4160266" y="3238804"/>
                            <a:ext cx="77470" cy="129539"/>
                          </a:xfrm>
                          <a:prstGeom prst="rect">
                            <a:avLst/>
                          </a:prstGeom>
                        </wps:spPr>
                        <wps:txbx>
                          <w:txbxContent>
                            <w:p w14:paraId="755FB9E2" w14:textId="77777777" w:rsidR="00D771B2" w:rsidRDefault="00D771B2" w:rsidP="00D771B2">
                              <w:pPr>
                                <w:spacing w:line="203" w:lineRule="exact"/>
                                <w:rPr>
                                  <w:sz w:val="18"/>
                                </w:rPr>
                              </w:pPr>
                              <w:r>
                                <w:rPr>
                                  <w:color w:val="404040"/>
                                  <w:w w:val="101"/>
                                  <w:sz w:val="18"/>
                                </w:rPr>
                                <w:t>0</w:t>
                              </w:r>
                            </w:p>
                          </w:txbxContent>
                        </wps:txbx>
                        <wps:bodyPr wrap="square" lIns="0" tIns="0" rIns="0" bIns="0" rtlCol="0">
                          <a:noAutofit/>
                        </wps:bodyPr>
                      </wps:wsp>
                      <wps:wsp>
                        <wps:cNvPr id="64" name="Textbox 302"/>
                        <wps:cNvSpPr txBox="1"/>
                        <wps:spPr>
                          <a:xfrm>
                            <a:off x="5546471" y="3238804"/>
                            <a:ext cx="77470" cy="129539"/>
                          </a:xfrm>
                          <a:prstGeom prst="rect">
                            <a:avLst/>
                          </a:prstGeom>
                        </wps:spPr>
                        <wps:txbx>
                          <w:txbxContent>
                            <w:p w14:paraId="46C597A4" w14:textId="77777777" w:rsidR="00D771B2" w:rsidRDefault="00D771B2" w:rsidP="00D771B2">
                              <w:pPr>
                                <w:spacing w:line="203" w:lineRule="exact"/>
                                <w:rPr>
                                  <w:sz w:val="18"/>
                                </w:rPr>
                              </w:pPr>
                              <w:r>
                                <w:rPr>
                                  <w:color w:val="404040"/>
                                  <w:w w:val="101"/>
                                  <w:sz w:val="18"/>
                                </w:rPr>
                                <w:t>0</w:t>
                              </w:r>
                            </w:p>
                          </w:txbxContent>
                        </wps:txbx>
                        <wps:bodyPr wrap="square" lIns="0" tIns="0" rIns="0" bIns="0" rtlCol="0">
                          <a:noAutofit/>
                        </wps:bodyPr>
                      </wps:wsp>
                      <wps:wsp>
                        <wps:cNvPr id="65" name="Textbox 303"/>
                        <wps:cNvSpPr txBox="1"/>
                        <wps:spPr>
                          <a:xfrm>
                            <a:off x="565785" y="3357040"/>
                            <a:ext cx="77470" cy="129539"/>
                          </a:xfrm>
                          <a:prstGeom prst="rect">
                            <a:avLst/>
                          </a:prstGeom>
                        </wps:spPr>
                        <wps:txbx>
                          <w:txbxContent>
                            <w:p w14:paraId="1F9C0CE4" w14:textId="77777777" w:rsidR="00D771B2" w:rsidRDefault="00D771B2" w:rsidP="00D771B2">
                              <w:pPr>
                                <w:spacing w:line="203" w:lineRule="exact"/>
                                <w:rPr>
                                  <w:sz w:val="18"/>
                                </w:rPr>
                              </w:pPr>
                              <w:r>
                                <w:rPr>
                                  <w:color w:val="585858"/>
                                  <w:w w:val="101"/>
                                  <w:sz w:val="18"/>
                                </w:rPr>
                                <w:t>0</w:t>
                              </w:r>
                            </w:p>
                          </w:txbxContent>
                        </wps:txbx>
                        <wps:bodyPr wrap="square" lIns="0" tIns="0" rIns="0" bIns="0" rtlCol="0">
                          <a:noAutofit/>
                        </wps:bodyPr>
                      </wps:wsp>
                      <wps:wsp>
                        <wps:cNvPr id="66" name="Textbox 304"/>
                        <wps:cNvSpPr txBox="1"/>
                        <wps:spPr>
                          <a:xfrm>
                            <a:off x="1261999" y="3493312"/>
                            <a:ext cx="331470" cy="129539"/>
                          </a:xfrm>
                          <a:prstGeom prst="rect">
                            <a:avLst/>
                          </a:prstGeom>
                        </wps:spPr>
                        <wps:txbx>
                          <w:txbxContent>
                            <w:p w14:paraId="6DCD2D77" w14:textId="77777777" w:rsidR="00D771B2" w:rsidRDefault="00D771B2" w:rsidP="00D771B2">
                              <w:pPr>
                                <w:spacing w:line="203" w:lineRule="exact"/>
                                <w:rPr>
                                  <w:sz w:val="18"/>
                                </w:rPr>
                              </w:pPr>
                              <w:r>
                                <w:rPr>
                                  <w:color w:val="585858"/>
                                  <w:spacing w:val="-2"/>
                                  <w:sz w:val="18"/>
                                </w:rPr>
                                <w:t>Diesel</w:t>
                              </w:r>
                            </w:p>
                          </w:txbxContent>
                        </wps:txbx>
                        <wps:bodyPr wrap="square" lIns="0" tIns="0" rIns="0" bIns="0" rtlCol="0">
                          <a:noAutofit/>
                        </wps:bodyPr>
                      </wps:wsp>
                      <wps:wsp>
                        <wps:cNvPr id="67" name="Textbox 305"/>
                        <wps:cNvSpPr txBox="1"/>
                        <wps:spPr>
                          <a:xfrm>
                            <a:off x="2536952" y="3493312"/>
                            <a:ext cx="555625" cy="129539"/>
                          </a:xfrm>
                          <a:prstGeom prst="rect">
                            <a:avLst/>
                          </a:prstGeom>
                        </wps:spPr>
                        <wps:txbx>
                          <w:txbxContent>
                            <w:p w14:paraId="4C1DAB9F" w14:textId="77777777" w:rsidR="00D771B2" w:rsidRDefault="00D771B2" w:rsidP="00D771B2">
                              <w:pPr>
                                <w:spacing w:line="203" w:lineRule="exact"/>
                                <w:rPr>
                                  <w:sz w:val="18"/>
                                </w:rPr>
                              </w:pPr>
                              <w:r>
                                <w:rPr>
                                  <w:color w:val="585858"/>
                                  <w:spacing w:val="-2"/>
                                  <w:sz w:val="18"/>
                                </w:rPr>
                                <w:t>CNG/RNG</w:t>
                              </w:r>
                            </w:p>
                          </w:txbxContent>
                        </wps:txbx>
                        <wps:bodyPr wrap="square" lIns="0" tIns="0" rIns="0" bIns="0" rtlCol="0">
                          <a:noAutofit/>
                        </wps:bodyPr>
                      </wps:wsp>
                      <wps:wsp>
                        <wps:cNvPr id="68" name="Textbox 306"/>
                        <wps:cNvSpPr txBox="1"/>
                        <wps:spPr>
                          <a:xfrm>
                            <a:off x="3726307" y="3493312"/>
                            <a:ext cx="946785" cy="129539"/>
                          </a:xfrm>
                          <a:prstGeom prst="rect">
                            <a:avLst/>
                          </a:prstGeom>
                        </wps:spPr>
                        <wps:txbx>
                          <w:txbxContent>
                            <w:p w14:paraId="2B556319" w14:textId="77777777" w:rsidR="00D771B2" w:rsidRDefault="00D771B2" w:rsidP="00D771B2">
                              <w:pPr>
                                <w:spacing w:line="203" w:lineRule="exact"/>
                                <w:rPr>
                                  <w:sz w:val="18"/>
                                </w:rPr>
                              </w:pPr>
                              <w:r>
                                <w:rPr>
                                  <w:color w:val="585858"/>
                                  <w:sz w:val="18"/>
                                </w:rPr>
                                <w:t>Gray/Green</w:t>
                              </w:r>
                              <w:r>
                                <w:rPr>
                                  <w:color w:val="585858"/>
                                  <w:spacing w:val="-10"/>
                                  <w:sz w:val="18"/>
                                </w:rPr>
                                <w:t xml:space="preserve"> </w:t>
                              </w:r>
                              <w:r>
                                <w:rPr>
                                  <w:color w:val="585858"/>
                                  <w:spacing w:val="-4"/>
                                  <w:sz w:val="18"/>
                                </w:rPr>
                                <w:t>FCEB</w:t>
                              </w:r>
                            </w:p>
                          </w:txbxContent>
                        </wps:txbx>
                        <wps:bodyPr wrap="square" lIns="0" tIns="0" rIns="0" bIns="0" rtlCol="0">
                          <a:noAutofit/>
                        </wps:bodyPr>
                      </wps:wsp>
                      <wps:wsp>
                        <wps:cNvPr id="69" name="Textbox 307"/>
                        <wps:cNvSpPr txBox="1"/>
                        <wps:spPr>
                          <a:xfrm>
                            <a:off x="5465191" y="3493312"/>
                            <a:ext cx="241300" cy="129539"/>
                          </a:xfrm>
                          <a:prstGeom prst="rect">
                            <a:avLst/>
                          </a:prstGeom>
                        </wps:spPr>
                        <wps:txbx>
                          <w:txbxContent>
                            <w:p w14:paraId="51D27A76" w14:textId="77777777" w:rsidR="00D771B2" w:rsidRDefault="00D771B2" w:rsidP="00D771B2">
                              <w:pPr>
                                <w:spacing w:line="203" w:lineRule="exact"/>
                                <w:rPr>
                                  <w:sz w:val="18"/>
                                </w:rPr>
                              </w:pPr>
                              <w:r>
                                <w:rPr>
                                  <w:color w:val="585858"/>
                                  <w:spacing w:val="-5"/>
                                  <w:sz w:val="18"/>
                                </w:rPr>
                                <w:t>BEB</w:t>
                              </w:r>
                            </w:p>
                          </w:txbxContent>
                        </wps:txbx>
                        <wps:bodyPr wrap="square" lIns="0" tIns="0" rIns="0" bIns="0" rtlCol="0">
                          <a:noAutofit/>
                        </wps:bodyPr>
                      </wps:wsp>
                    </wpg:wgp>
                  </a:graphicData>
                </a:graphic>
              </wp:inline>
            </w:drawing>
          </mc:Choice>
          <mc:Fallback>
            <w:pict>
              <v:group w14:anchorId="65CC47BC" id="Group 49" o:spid="_x0000_s1046" style="width:504.7pt;height:291.6pt;mso-position-horizontal-relative:char;mso-position-vertical-relative:line" coordsize="64096,3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">
                <v:shape id="Graphic 288" o:spid="_x0000_s1047" style="position:absolute;left:7272;top:6102;width:55429;height:23444;visibility:visible;mso-wrap-style:square;v-text-anchor:top" coordsize="5542915,234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" path="m,2343912r477139,em909954,2343912r4632834,em,1874520r477139,em909954,1874520r4632834,em,1405127r477139,em909954,1405127r4632834,em,935736r477139,em909954,935736r4632834,em,469392r477139,em909954,469392r4632834,em,l477139,em909954,l5542788,e" filled="f" strokecolor="#d9d9d9">
                  <v:path arrowok="t"/>
                </v:shape>
                <v:shape id="Graphic 289" o:spid="_x0000_s1048" style="position:absolute;left:12043;top:3999;width:18199;height:30245;visibility:visible;mso-wrap-style:square;v-text-anchor:top" coordsize="1819910,30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" path="m432816,l,,,3024251r432816,l432816,xem1819656,2874264r-435864,l1383792,3024251r435864,l1819656,2874264xe" fillcolor="#2c3b77" stroked="f">
                  <v:path arrowok="t"/>
                </v:shape>
                <v:shape id="Graphic 290" o:spid="_x0000_s1049" style="position:absolute;left:7272;top:1397;width:55429;height:32848;visibility:visible;mso-wrap-style:square;v-text-anchor:top" coordsize="5542915,328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" path="m,3284474r5542788,em,l5542788,e" filled="f" strokecolor="#d9d9d9">
                  <v:path arrowok="t"/>
                </v:shape>
                <v:shape id="Graphic 291" o:spid="_x0000_s1050" style="position:absolute;width:64096;height:37033;visibility:visible;mso-wrap-style:square;v-text-anchor:top" coordsize="6409690,37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" path="m,3703320r6409690,l6409690,,,,,3703320xe" filled="f" strokecolor="#d9d9d9">
                  <v:path arrowok="t"/>
                </v:shape>
                <v:shape id="Textbox 292" o:spid="_x0000_s1051" type="#_x0000_t202" style="position:absolute;left:3432;top:716;width:299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60096BD" w14:textId="77777777" w:rsidR="00D771B2" w:rsidRDefault="00D771B2" w:rsidP="00D771B2">
                        <w:pPr>
                          <w:spacing w:line="203" w:lineRule="exact"/>
                          <w:rPr>
                            <w:sz w:val="18"/>
                          </w:rPr>
                        </w:pPr>
                        <w:r>
                          <w:rPr>
                            <w:color w:val="585858"/>
                            <w:spacing w:val="-2"/>
                            <w:sz w:val="18"/>
                          </w:rPr>
                          <w:t>7,000</w:t>
                        </w:r>
                      </w:p>
                    </w:txbxContent>
                  </v:textbox>
                </v:shape>
                <v:shape id="Textbox 293" o:spid="_x0000_s1052" type="#_x0000_t202" style="position:absolute;left:12750;top:2140;width:302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3DF4D09" w14:textId="77777777" w:rsidR="00D771B2" w:rsidRDefault="00D771B2" w:rsidP="00D771B2">
                        <w:pPr>
                          <w:spacing w:line="203" w:lineRule="exact"/>
                          <w:rPr>
                            <w:sz w:val="18"/>
                          </w:rPr>
                        </w:pPr>
                        <w:r>
                          <w:rPr>
                            <w:color w:val="404040"/>
                            <w:spacing w:val="-2"/>
                            <w:sz w:val="18"/>
                          </w:rPr>
                          <w:t>6,445</w:t>
                        </w:r>
                      </w:p>
                    </w:txbxContent>
                  </v:textbox>
                </v:shape>
                <v:shape id="Textbox 294" o:spid="_x0000_s1053" type="#_x0000_t202" style="position:absolute;left:3432;top:5410;width:299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40EFED0" w14:textId="77777777" w:rsidR="00D771B2" w:rsidRDefault="00D771B2" w:rsidP="00D771B2">
                        <w:pPr>
                          <w:spacing w:line="203" w:lineRule="exact"/>
                          <w:rPr>
                            <w:sz w:val="18"/>
                          </w:rPr>
                        </w:pPr>
                        <w:r>
                          <w:rPr>
                            <w:color w:val="585858"/>
                            <w:spacing w:val="-2"/>
                            <w:sz w:val="18"/>
                          </w:rPr>
                          <w:t>6,000</w:t>
                        </w:r>
                      </w:p>
                    </w:txbxContent>
                  </v:textbox>
                </v:shape>
                <v:shape id="Textbox 295" o:spid="_x0000_s1054" type="#_x0000_t202" style="position:absolute;left:3432;top:10104;width:299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12179C4" w14:textId="77777777" w:rsidR="00D771B2" w:rsidRDefault="00D771B2" w:rsidP="00D771B2">
                        <w:pPr>
                          <w:spacing w:line="203" w:lineRule="exact"/>
                          <w:rPr>
                            <w:sz w:val="18"/>
                          </w:rPr>
                        </w:pPr>
                        <w:r>
                          <w:rPr>
                            <w:color w:val="585858"/>
                            <w:spacing w:val="-2"/>
                            <w:sz w:val="18"/>
                          </w:rPr>
                          <w:t>5,000</w:t>
                        </w:r>
                      </w:p>
                    </w:txbxContent>
                  </v:textbox>
                </v:shape>
                <v:shape id="Textbox 296" o:spid="_x0000_s1055" type="#_x0000_t202" style="position:absolute;left:3432;top:14798;width:299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3A2722F" w14:textId="77777777" w:rsidR="00D771B2" w:rsidRDefault="00D771B2" w:rsidP="00D771B2">
                        <w:pPr>
                          <w:spacing w:line="203" w:lineRule="exact"/>
                          <w:rPr>
                            <w:sz w:val="18"/>
                          </w:rPr>
                        </w:pPr>
                        <w:r>
                          <w:rPr>
                            <w:color w:val="585858"/>
                            <w:spacing w:val="-2"/>
                            <w:sz w:val="18"/>
                          </w:rPr>
                          <w:t>4,000</w:t>
                        </w:r>
                      </w:p>
                    </w:txbxContent>
                  </v:textbox>
                </v:shape>
                <v:shape id="Textbox 297" o:spid="_x0000_s1056" type="#_x0000_t202" style="position:absolute;left:3432;top:19492;width:299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3C4D717" w14:textId="77777777" w:rsidR="00D771B2" w:rsidRDefault="00D771B2" w:rsidP="00D771B2">
                        <w:pPr>
                          <w:spacing w:line="203" w:lineRule="exact"/>
                          <w:rPr>
                            <w:sz w:val="18"/>
                          </w:rPr>
                        </w:pPr>
                        <w:r>
                          <w:rPr>
                            <w:color w:val="585858"/>
                            <w:spacing w:val="-2"/>
                            <w:sz w:val="18"/>
                          </w:rPr>
                          <w:t>3,000</w:t>
                        </w:r>
                      </w:p>
                    </w:txbxContent>
                  </v:textbox>
                </v:shape>
                <v:shape id="Textbox 298" o:spid="_x0000_s1057" type="#_x0000_t202" style="position:absolute;left:3432;top:24186;width:299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25E227" w14:textId="77777777" w:rsidR="00D771B2" w:rsidRDefault="00D771B2" w:rsidP="00D771B2">
                        <w:pPr>
                          <w:spacing w:line="203" w:lineRule="exact"/>
                          <w:rPr>
                            <w:sz w:val="18"/>
                          </w:rPr>
                        </w:pPr>
                        <w:r>
                          <w:rPr>
                            <w:color w:val="585858"/>
                            <w:spacing w:val="-2"/>
                            <w:sz w:val="18"/>
                          </w:rPr>
                          <w:t>2,000</w:t>
                        </w:r>
                      </w:p>
                    </w:txbxContent>
                  </v:textbox>
                </v:shape>
                <v:shape id="Textbox 299" o:spid="_x0000_s1058" type="#_x0000_t202" style="position:absolute;left:3432;top:28873;width:299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9D111F0" w14:textId="77777777" w:rsidR="00D771B2" w:rsidRDefault="00D771B2" w:rsidP="00D771B2">
                        <w:pPr>
                          <w:spacing w:line="204" w:lineRule="exact"/>
                          <w:rPr>
                            <w:sz w:val="18"/>
                          </w:rPr>
                        </w:pPr>
                        <w:r>
                          <w:rPr>
                            <w:color w:val="585858"/>
                            <w:spacing w:val="-2"/>
                            <w:sz w:val="18"/>
                          </w:rPr>
                          <w:t>1,000</w:t>
                        </w:r>
                      </w:p>
                    </w:txbxContent>
                  </v:textbox>
                </v:shape>
                <v:shape id="Textbox 300" o:spid="_x0000_s1059" type="#_x0000_t202" style="position:absolute;left:27100;top:30876;width:205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5DCC2BD" w14:textId="77777777" w:rsidR="00D771B2" w:rsidRDefault="00D771B2" w:rsidP="00D771B2">
                        <w:pPr>
                          <w:spacing w:line="203" w:lineRule="exact"/>
                          <w:rPr>
                            <w:sz w:val="18"/>
                          </w:rPr>
                        </w:pPr>
                        <w:r>
                          <w:rPr>
                            <w:color w:val="404040"/>
                            <w:spacing w:val="-5"/>
                            <w:sz w:val="18"/>
                          </w:rPr>
                          <w:t>322</w:t>
                        </w:r>
                      </w:p>
                    </w:txbxContent>
                  </v:textbox>
                </v:shape>
                <v:shape id="Textbox 301" o:spid="_x0000_s1060" type="#_x0000_t202" style="position:absolute;left:41602;top:32388;width:77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55FB9E2" w14:textId="77777777" w:rsidR="00D771B2" w:rsidRDefault="00D771B2" w:rsidP="00D771B2">
                        <w:pPr>
                          <w:spacing w:line="203" w:lineRule="exact"/>
                          <w:rPr>
                            <w:sz w:val="18"/>
                          </w:rPr>
                        </w:pPr>
                        <w:r>
                          <w:rPr>
                            <w:color w:val="404040"/>
                            <w:w w:val="101"/>
                            <w:sz w:val="18"/>
                          </w:rPr>
                          <w:t>0</w:t>
                        </w:r>
                      </w:p>
                    </w:txbxContent>
                  </v:textbox>
                </v:shape>
                <v:shape id="Textbox 302" o:spid="_x0000_s1061" type="#_x0000_t202" style="position:absolute;left:55464;top:32388;width:77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6C597A4" w14:textId="77777777" w:rsidR="00D771B2" w:rsidRDefault="00D771B2" w:rsidP="00D771B2">
                        <w:pPr>
                          <w:spacing w:line="203" w:lineRule="exact"/>
                          <w:rPr>
                            <w:sz w:val="18"/>
                          </w:rPr>
                        </w:pPr>
                        <w:r>
                          <w:rPr>
                            <w:color w:val="404040"/>
                            <w:w w:val="101"/>
                            <w:sz w:val="18"/>
                          </w:rPr>
                          <w:t>0</w:t>
                        </w:r>
                      </w:p>
                    </w:txbxContent>
                  </v:textbox>
                </v:shape>
                <v:shape id="Textbox 303" o:spid="_x0000_s1062" type="#_x0000_t202" style="position:absolute;left:5657;top:33570;width:77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F9C0CE4" w14:textId="77777777" w:rsidR="00D771B2" w:rsidRDefault="00D771B2" w:rsidP="00D771B2">
                        <w:pPr>
                          <w:spacing w:line="203" w:lineRule="exact"/>
                          <w:rPr>
                            <w:sz w:val="18"/>
                          </w:rPr>
                        </w:pPr>
                        <w:r>
                          <w:rPr>
                            <w:color w:val="585858"/>
                            <w:w w:val="101"/>
                            <w:sz w:val="18"/>
                          </w:rPr>
                          <w:t>0</w:t>
                        </w:r>
                      </w:p>
                    </w:txbxContent>
                  </v:textbox>
                </v:shape>
                <v:shape id="Textbox 304" o:spid="_x0000_s1063" type="#_x0000_t202" style="position:absolute;left:12619;top:34933;width:331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DCD2D77" w14:textId="77777777" w:rsidR="00D771B2" w:rsidRDefault="00D771B2" w:rsidP="00D771B2">
                        <w:pPr>
                          <w:spacing w:line="203" w:lineRule="exact"/>
                          <w:rPr>
                            <w:sz w:val="18"/>
                          </w:rPr>
                        </w:pPr>
                        <w:r>
                          <w:rPr>
                            <w:color w:val="585858"/>
                            <w:spacing w:val="-2"/>
                            <w:sz w:val="18"/>
                          </w:rPr>
                          <w:t>Diesel</w:t>
                        </w:r>
                      </w:p>
                    </w:txbxContent>
                  </v:textbox>
                </v:shape>
                <v:shape id="Textbox 305" o:spid="_x0000_s1064" type="#_x0000_t202" style="position:absolute;left:25369;top:34933;width:555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C1DAB9F" w14:textId="77777777" w:rsidR="00D771B2" w:rsidRDefault="00D771B2" w:rsidP="00D771B2">
                        <w:pPr>
                          <w:spacing w:line="203" w:lineRule="exact"/>
                          <w:rPr>
                            <w:sz w:val="18"/>
                          </w:rPr>
                        </w:pPr>
                        <w:r>
                          <w:rPr>
                            <w:color w:val="585858"/>
                            <w:spacing w:val="-2"/>
                            <w:sz w:val="18"/>
                          </w:rPr>
                          <w:t>CNG/RNG</w:t>
                        </w:r>
                      </w:p>
                    </w:txbxContent>
                  </v:textbox>
                </v:shape>
                <v:shape id="Textbox 306" o:spid="_x0000_s1065" type="#_x0000_t202" style="position:absolute;left:37263;top:34933;width:9467;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B556319" w14:textId="77777777" w:rsidR="00D771B2" w:rsidRDefault="00D771B2" w:rsidP="00D771B2">
                        <w:pPr>
                          <w:spacing w:line="203" w:lineRule="exact"/>
                          <w:rPr>
                            <w:sz w:val="18"/>
                          </w:rPr>
                        </w:pPr>
                        <w:r>
                          <w:rPr>
                            <w:color w:val="585858"/>
                            <w:sz w:val="18"/>
                          </w:rPr>
                          <w:t>Gray/Green</w:t>
                        </w:r>
                        <w:r>
                          <w:rPr>
                            <w:color w:val="585858"/>
                            <w:spacing w:val="-10"/>
                            <w:sz w:val="18"/>
                          </w:rPr>
                          <w:t xml:space="preserve"> </w:t>
                        </w:r>
                        <w:r>
                          <w:rPr>
                            <w:color w:val="585858"/>
                            <w:spacing w:val="-4"/>
                            <w:sz w:val="18"/>
                          </w:rPr>
                          <w:t>FCEB</w:t>
                        </w:r>
                      </w:p>
                    </w:txbxContent>
                  </v:textbox>
                </v:shape>
                <v:shape id="Textbox 307" o:spid="_x0000_s1066" type="#_x0000_t202" style="position:absolute;left:54651;top:34933;width:2413;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1D27A76" w14:textId="77777777" w:rsidR="00D771B2" w:rsidRDefault="00D771B2" w:rsidP="00D771B2">
                        <w:pPr>
                          <w:spacing w:line="203" w:lineRule="exact"/>
                          <w:rPr>
                            <w:sz w:val="18"/>
                          </w:rPr>
                        </w:pPr>
                        <w:r>
                          <w:rPr>
                            <w:color w:val="585858"/>
                            <w:spacing w:val="-5"/>
                            <w:sz w:val="18"/>
                          </w:rPr>
                          <w:t>BEB</w:t>
                        </w:r>
                      </w:p>
                    </w:txbxContent>
                  </v:textbox>
                </v:shape>
                <w10:anchorlock/>
              </v:group>
            </w:pict>
          </mc:Fallback>
        </mc:AlternateContent>
      </w:r>
    </w:p>
    <w:p w14:paraId="319F584D" w14:textId="1E0A53E7" w:rsidR="001C3B8A" w:rsidRDefault="001C3B8A" w:rsidP="001C3B8A">
      <w:r>
        <w:t>The level of NO</w:t>
      </w:r>
      <w:r w:rsidRPr="00CD1456">
        <w:rPr>
          <w:vertAlign w:val="subscript"/>
        </w:rPr>
        <w:t>x</w:t>
      </w:r>
      <w:r>
        <w:t xml:space="preserve"> emissions was also directly related to the fleet composition and not based on the composition of the electric grid. A total transition to FCEBs or BEBs will eliminate localized </w:t>
      </w:r>
      <w:r w:rsidR="00C337E6">
        <w:t>nitrogen oxide emissions</w:t>
      </w:r>
      <w:r>
        <w:t xml:space="preserve">, while transitioning to CNG/RNG buses will result in a 95.0% decrease in </w:t>
      </w:r>
      <w:r w:rsidR="00C337E6">
        <w:t>nitrogen oxide</w:t>
      </w:r>
      <w:r>
        <w:t xml:space="preserve"> emissions as compared to a diesel fleet. </w:t>
      </w:r>
    </w:p>
    <w:p w14:paraId="490B3ED0" w14:textId="77777777" w:rsidR="001C3B8A" w:rsidRDefault="001C3B8A" w:rsidP="001C3B8A">
      <w:pPr>
        <w:pStyle w:val="Caption"/>
        <w:keepNext/>
        <w:jc w:val="center"/>
      </w:pPr>
      <w:bookmarkStart w:id="38" w:name="_Toc134183741"/>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846275">
        <w:t>Other Pollutant Emissions (PM</w:t>
      </w:r>
      <w:r w:rsidRPr="00CD1456">
        <w:rPr>
          <w:vertAlign w:val="subscript"/>
        </w:rPr>
        <w:t>10</w:t>
      </w:r>
      <w:r w:rsidRPr="00846275">
        <w:t>, PM</w:t>
      </w:r>
      <w:r w:rsidRPr="00CD1456">
        <w:rPr>
          <w:vertAlign w:val="subscript"/>
        </w:rPr>
        <w:t>2.5</w:t>
      </w:r>
      <w:r w:rsidRPr="00846275">
        <w:t xml:space="preserve">, VOC, and </w:t>
      </w:r>
      <w:proofErr w:type="spellStart"/>
      <w:r w:rsidRPr="00846275">
        <w:t>SO</w:t>
      </w:r>
      <w:r w:rsidRPr="00CD1456">
        <w:rPr>
          <w:vertAlign w:val="subscript"/>
        </w:rPr>
        <w:t>x</w:t>
      </w:r>
      <w:proofErr w:type="spellEnd"/>
      <w:r w:rsidRPr="00846275">
        <w:t>) at Full Transition</w:t>
      </w:r>
      <w:bookmarkEnd w:id="38"/>
    </w:p>
    <w:p w14:paraId="4F759E48" w14:textId="77777777" w:rsidR="001C3B8A" w:rsidRDefault="001C3B8A" w:rsidP="001C3B8A">
      <w:pPr>
        <w:jc w:val="center"/>
      </w:pPr>
      <w:r>
        <w:rPr>
          <w:noProof/>
        </w:rPr>
        <w:drawing>
          <wp:inline distT="0" distB="0" distL="0" distR="0" wp14:anchorId="589B3326" wp14:editId="55062AD8">
            <wp:extent cx="6409944" cy="3703320"/>
            <wp:effectExtent l="0" t="0" r="10160" b="11430"/>
            <wp:docPr id="11" name="Chart 11">
              <a:extLst xmlns:a="http://schemas.openxmlformats.org/drawingml/2006/main">
                <a:ext uri="{FF2B5EF4-FFF2-40B4-BE49-F238E27FC236}">
                  <a16:creationId xmlns:a16="http://schemas.microsoft.com/office/drawing/2014/main" id="{BF6F7F6E-7860-574F-DCDF-2C78D92E1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461F7F" w14:textId="77777777" w:rsidR="001C3B8A" w:rsidRDefault="001C3B8A" w:rsidP="001C3B8A">
      <w:r>
        <w:t xml:space="preserve">The emissions of the remaining measured pollutants are also based around CAT’s fleet composition. The BEB and FCEB transition scenarios produce zero VOC, and </w:t>
      </w:r>
      <w:proofErr w:type="spellStart"/>
      <w:r>
        <w:t>SO</w:t>
      </w:r>
      <w:r w:rsidRPr="00CD1456">
        <w:rPr>
          <w:vertAlign w:val="subscript"/>
        </w:rPr>
        <w:t>x</w:t>
      </w:r>
      <w:proofErr w:type="spellEnd"/>
      <w:r>
        <w:t xml:space="preserve"> emissions and have slightly lower PM emissions than a diesel fleet. A CNG/RNG fleet transition has slightly lower VOC and </w:t>
      </w:r>
      <w:proofErr w:type="spellStart"/>
      <w:r>
        <w:t>SO</w:t>
      </w:r>
      <w:r w:rsidRPr="00CD1456">
        <w:rPr>
          <w:vertAlign w:val="subscript"/>
        </w:rPr>
        <w:t>x</w:t>
      </w:r>
      <w:proofErr w:type="spellEnd"/>
      <w:r>
        <w:t xml:space="preserve"> emissions. A CNG/RNG fleet has the same Particulate Matter emissions as a diesel fleet.</w:t>
      </w:r>
    </w:p>
    <w:p w14:paraId="13334832" w14:textId="77777777" w:rsidR="001C3B8A" w:rsidRDefault="001C3B8A" w:rsidP="001C3B8A">
      <w:pPr>
        <w:pStyle w:val="Heading1"/>
      </w:pPr>
      <w:bookmarkStart w:id="39" w:name="_Toc134183726"/>
      <w:r>
        <w:t>Discussion</w:t>
      </w:r>
      <w:bookmarkEnd w:id="39"/>
    </w:p>
    <w:p w14:paraId="31655FC9" w14:textId="77777777" w:rsidR="001C3B8A" w:rsidRPr="00AF1754" w:rsidRDefault="001C3B8A" w:rsidP="001C3B8A">
      <w:pPr>
        <w:pStyle w:val="Heading2"/>
      </w:pPr>
      <w:bookmarkStart w:id="40" w:name="_Toc134183727"/>
      <w:r>
        <w:t>Global Environmental Impact</w:t>
      </w:r>
      <w:bookmarkEnd w:id="40"/>
    </w:p>
    <w:p w14:paraId="19186FA6" w14:textId="77777777" w:rsidR="001C3B8A" w:rsidRDefault="001C3B8A" w:rsidP="001C3B8A">
      <w:r>
        <w:t xml:space="preserve">There are significant differences between the transition scenarios when it comes to impacts on the global environment. As previously stated, the City of Charlottesville and Albemarle County set a shared goal in their respective climate action plans to become carbon neutral by 2050 to mitigate the effects of climate change. Part of the effort to achieve carbon neutrality for the jurisdiction is for CAT to also achieve carbon neutrality (though no interim milestone date is set for a department-specific reduction). </w:t>
      </w:r>
    </w:p>
    <w:p w14:paraId="597FEDAC" w14:textId="1066B949" w:rsidR="001C3B8A" w:rsidRDefault="00F41D7B" w:rsidP="001C3B8A">
      <w:r>
        <w:t>Assuming Virginia’s electric grid achieves its carbon neutral goal by 2050</w:t>
      </w:r>
      <w:r w:rsidR="006735E2">
        <w:t xml:space="preserve">, </w:t>
      </w:r>
      <w:r>
        <w:t>t</w:t>
      </w:r>
      <w:r w:rsidR="001C3B8A">
        <w:t xml:space="preserve">he BEB and the Green FCEB </w:t>
      </w:r>
      <w:r w:rsidR="006735E2">
        <w:t xml:space="preserve">scenarios </w:t>
      </w:r>
      <w:r w:rsidR="001C3B8A">
        <w:t xml:space="preserve">come close to achieving carbon neutrality by reducing 99.4% and 99.0% of GHG emissions, respectively, compared to the baseline diesel fleet. Only one of the six transition scenarios – the RNG fleet transition scenario - achieves more than 100% reduction by 2050. However, the GHG emissions of RNG fueled buses produce “negative” emissions </w:t>
      </w:r>
      <w:proofErr w:type="gramStart"/>
      <w:r w:rsidR="001C3B8A">
        <w:t>as a result of</w:t>
      </w:r>
      <w:proofErr w:type="gramEnd"/>
      <w:r w:rsidR="001C3B8A">
        <w:t xml:space="preserve"> mitigated methane emissions, not a true reduction of tailpipe emissions as compared to the base scenario. The Gr</w:t>
      </w:r>
      <w:r w:rsidR="006735E2">
        <w:t>a</w:t>
      </w:r>
      <w:r w:rsidR="001C3B8A">
        <w:t>y FCEB and CNG transition scenarios reduce GHG emissions compared to baseline but cannot achieve carbon neutrality, even with a 100% carbon neutral electric grid. As such, a transition to Gr</w:t>
      </w:r>
      <w:r w:rsidR="00BC4B16">
        <w:t>a</w:t>
      </w:r>
      <w:r w:rsidR="001C3B8A">
        <w:t>y FCEB or CNG would be a temporary transition before completing a second transition to a fuel source with greater GHG reduction potential to hit the 2050 neutrality goal.</w:t>
      </w:r>
    </w:p>
    <w:p w14:paraId="1BCDCC6F" w14:textId="0CB9B5F8" w:rsidR="001C3B8A" w:rsidRDefault="001C3B8A" w:rsidP="001C3B8A">
      <w:r>
        <w:t>Regardless of the chosen transition scenario, the reductions in GHG emissions from CAT’s fleet are limited by the rate of transition from the diesel buses to the chosen alternative</w:t>
      </w:r>
      <w:r w:rsidR="0090535F">
        <w:t>ly</w:t>
      </w:r>
      <w:r>
        <w:t xml:space="preserve"> fueled buses. </w:t>
      </w:r>
      <w:proofErr w:type="gramStart"/>
      <w:r w:rsidR="0090535F">
        <w:t>With the exception of</w:t>
      </w:r>
      <w:proofErr w:type="gramEnd"/>
      <w:r>
        <w:t xml:space="preserve"> the two BEBs </w:t>
      </w:r>
      <w:r w:rsidR="00150801">
        <w:t xml:space="preserve">to be </w:t>
      </w:r>
      <w:r>
        <w:t xml:space="preserve">procured in FY25 as a pilot, CAT’s fleet begins to transition to alternatively fueled buses starting in 2028. The initial transition begins at a slow pace and then accelerates in 2034 due to previous purchase quantities and minimum replacement age requirements. As such, meaningful GHG emission reductions begin in 2034. </w:t>
      </w:r>
    </w:p>
    <w:p w14:paraId="412875D9" w14:textId="4C1F99C4" w:rsidR="001C3B8A" w:rsidRDefault="001C3B8A" w:rsidP="001C3B8A">
      <w:r>
        <w:t xml:space="preserve">CAT could accelerate GHG emissions through an expedited fleet replacement, but the FTA’s ULB standards </w:t>
      </w:r>
      <w:r w:rsidR="007F7F54">
        <w:t>limit</w:t>
      </w:r>
      <w:r>
        <w:t xml:space="preserve"> the pace at which CAT transition</w:t>
      </w:r>
      <w:r w:rsidR="00C867DA">
        <w:t>s</w:t>
      </w:r>
      <w:r>
        <w:t xml:space="preserve"> its fleet with federal funding. Additionally, the GHG emission reductions for the </w:t>
      </w:r>
      <w:r w:rsidR="00C867DA">
        <w:t>Gray</w:t>
      </w:r>
      <w:r>
        <w:t xml:space="preserve"> FCEB, CNG, and RNG transition scenarios cease once CAT’s fleet is 100% transitioned (planned for 2040), while the GHG emission reductions from the BEB and </w:t>
      </w:r>
      <w:r w:rsidR="00F315D2">
        <w:t>G</w:t>
      </w:r>
      <w:r>
        <w:t>reen FCEB transition scenarios are</w:t>
      </w:r>
      <w:r w:rsidR="00F315D2">
        <w:t xml:space="preserve"> </w:t>
      </w:r>
      <w:r>
        <w:t>dependent on Virginia’s electric grid.</w:t>
      </w:r>
    </w:p>
    <w:p w14:paraId="483DD029" w14:textId="78DB1D84" w:rsidR="001C3B8A" w:rsidRDefault="001C3B8A" w:rsidP="001C3B8A">
      <w:r>
        <w:t xml:space="preserve">An alternative option to achieve carbon neutrality goals may be the capital purchase of credits: either carbon offset credits, renewable natural gas credits, or virtual power purchase agreement arrangements. However, these credits are based on either the electricity or natural gas consumed, and are still limited by fleet size; however, this may be an option to deploy BEBs </w:t>
      </w:r>
      <w:r w:rsidR="00AE30E4">
        <w:t xml:space="preserve">or FCEBs </w:t>
      </w:r>
      <w:r>
        <w:t>and achieve a carbon-neutral transit system by 2040. Carbon offsets also differ in quality and effect. If CAT were to use carbon credits as part of their carbon-neutrality strategy, considerable attention should be paid towards the type of credit/the effect (i.e., removal or avoidance), the issuer of the carbon credit, and how the credit is verified.</w:t>
      </w:r>
      <w:r w:rsidR="00EE2295">
        <w:t xml:space="preserve"> Use of carbon credits to reduce CAT’s emissions would also not have any of the local beneficial health impacts that transitioning to low- or no- carbon fuels would have.</w:t>
      </w:r>
    </w:p>
    <w:p w14:paraId="066795EE" w14:textId="77777777" w:rsidR="001C3B8A" w:rsidRDefault="001C3B8A" w:rsidP="001C3B8A">
      <w:pPr>
        <w:pStyle w:val="Heading2"/>
      </w:pPr>
      <w:bookmarkStart w:id="41" w:name="_Toc134183728"/>
      <w:r>
        <w:t>Local Environmental Impact</w:t>
      </w:r>
      <w:bookmarkEnd w:id="41"/>
    </w:p>
    <w:p w14:paraId="4EEF878E" w14:textId="6F7353C7" w:rsidR="001C3B8A" w:rsidRDefault="001C3B8A" w:rsidP="001C3B8A">
      <w:r>
        <w:t xml:space="preserve">The City of Charlottesville’s local environment, air quality, and the health of its citizens are affected by the potential selection of alternative fuel. Transitioning CAT’s fleet to BEBs or FCEBs (either </w:t>
      </w:r>
      <w:proofErr w:type="gramStart"/>
      <w:r w:rsidR="00C867DA">
        <w:t>Gray</w:t>
      </w:r>
      <w:r>
        <w:t xml:space="preserve"> or green</w:t>
      </w:r>
      <w:proofErr w:type="gramEnd"/>
      <w:r>
        <w:t xml:space="preserve"> hydrogen) would improve the local air quality, environment, and </w:t>
      </w:r>
      <w:r w:rsidR="00404403">
        <w:t xml:space="preserve">noise levels for </w:t>
      </w:r>
      <w:r>
        <w:t>inhabitants of the City. As BEBs and FCEBs are zero emission vehicles, a transition to either would eliminate CO, NO</w:t>
      </w:r>
      <w:r w:rsidRPr="00CD1456">
        <w:rPr>
          <w:vertAlign w:val="subscript"/>
        </w:rPr>
        <w:t>x</w:t>
      </w:r>
      <w:r>
        <w:t xml:space="preserve">, VOC, and </w:t>
      </w:r>
      <w:proofErr w:type="spellStart"/>
      <w:r>
        <w:t>SO</w:t>
      </w:r>
      <w:r w:rsidRPr="00CD1456">
        <w:rPr>
          <w:vertAlign w:val="subscript"/>
        </w:rPr>
        <w:t>x</w:t>
      </w:r>
      <w:proofErr w:type="spellEnd"/>
      <w:r>
        <w:t xml:space="preserve"> emissions within the City of Charlottesville. A BEB or FCEB fleet would also reduce the amount of PM emissions by 4.4% and 25.1% for PM</w:t>
      </w:r>
      <w:r w:rsidRPr="00CD1456">
        <w:rPr>
          <w:vertAlign w:val="subscript"/>
        </w:rPr>
        <w:t>10</w:t>
      </w:r>
      <w:r>
        <w:t xml:space="preserve"> and PM</w:t>
      </w:r>
      <w:r w:rsidRPr="00CD1456">
        <w:rPr>
          <w:vertAlign w:val="subscript"/>
        </w:rPr>
        <w:t>2.5</w:t>
      </w:r>
      <w:r>
        <w:t xml:space="preserve"> compared to a diesel fleet, respectively. However, PM emissions cannot be eliminated with BEBs and FCEBs as the wear-and-tear of the vehicle’s brake pads and tires produces PM regardless of bus technology. </w:t>
      </w:r>
    </w:p>
    <w:p w14:paraId="56301FFC" w14:textId="584D433D" w:rsidR="001C3B8A" w:rsidRDefault="001C3B8A" w:rsidP="001C3B8A">
      <w:r>
        <w:t xml:space="preserve">Note that FCEB will </w:t>
      </w:r>
      <w:r w:rsidR="00404403">
        <w:t xml:space="preserve">likely </w:t>
      </w:r>
      <w:r>
        <w:t xml:space="preserve">require the delivery of hydrogen fuel to the CAT depot. This analysis assumed diesel trucks would deliver the fuel until such time as </w:t>
      </w:r>
      <w:r w:rsidRPr="00377980">
        <w:t xml:space="preserve">delivery trucks </w:t>
      </w:r>
      <w:r>
        <w:t xml:space="preserve">are </w:t>
      </w:r>
      <w:r w:rsidRPr="00377980">
        <w:t>converted to comparable zero-emissions</w:t>
      </w:r>
      <w:r>
        <w:t xml:space="preserve"> technologies or a municipal hydrogen gas distribution system is established.</w:t>
      </w:r>
    </w:p>
    <w:p w14:paraId="0F47F8BE" w14:textId="77777777" w:rsidR="001C3B8A" w:rsidRDefault="001C3B8A" w:rsidP="001C3B8A">
      <w:r>
        <w:t>A transition to natural gas-powered buses (CNG or RNG) would result in a variety of impacts to Charlottesville’s local environment. A CNG/RNG transition will improve Charlottesville’s local air quality through the reduction of the level of NO</w:t>
      </w:r>
      <w:r w:rsidRPr="00CD1456">
        <w:rPr>
          <w:vertAlign w:val="subscript"/>
        </w:rPr>
        <w:t>x</w:t>
      </w:r>
      <w:r>
        <w:t xml:space="preserve"> emissions and relatively smaller reductions of VOC and </w:t>
      </w:r>
      <w:proofErr w:type="spellStart"/>
      <w:r>
        <w:t>SO</w:t>
      </w:r>
      <w:r w:rsidRPr="00CD1456">
        <w:rPr>
          <w:vertAlign w:val="subscript"/>
        </w:rPr>
        <w:t>x</w:t>
      </w:r>
      <w:proofErr w:type="spellEnd"/>
      <w:r>
        <w:t xml:space="preserve"> emissions when compared to a diesel baseline. NO</w:t>
      </w:r>
      <w:r w:rsidRPr="00CD1456">
        <w:rPr>
          <w:vertAlign w:val="subscript"/>
        </w:rPr>
        <w:t>x</w:t>
      </w:r>
      <w:r>
        <w:t xml:space="preserve"> emissions would be reduced by 95.0%, while VOC and </w:t>
      </w:r>
      <w:proofErr w:type="spellStart"/>
      <w:r>
        <w:t>SO</w:t>
      </w:r>
      <w:r w:rsidRPr="00CD1456">
        <w:rPr>
          <w:vertAlign w:val="subscript"/>
        </w:rPr>
        <w:t>x</w:t>
      </w:r>
      <w:proofErr w:type="spellEnd"/>
      <w:r>
        <w:t xml:space="preserve"> emissions would be reduced by 52.0% and 42.1%, respectively. Conversely, the level of CO emissions would increase dramatically by 1,050% with a transition to CNG/RNG vehicles from a diesel fleet baseline. PM emissions would remain the same between CNG/RNG and diesel vehicles.</w:t>
      </w:r>
    </w:p>
    <w:p w14:paraId="571E3D9B" w14:textId="77777777" w:rsidR="001C3B8A" w:rsidRDefault="001C3B8A" w:rsidP="001C3B8A">
      <w:pPr>
        <w:pStyle w:val="Heading2"/>
      </w:pPr>
      <w:bookmarkStart w:id="42" w:name="_Toc134183729"/>
      <w:r>
        <w:t>Qualitative Supply Chain Impact</w:t>
      </w:r>
      <w:bookmarkEnd w:id="42"/>
    </w:p>
    <w:p w14:paraId="3E2E4012" w14:textId="77777777" w:rsidR="001C3B8A" w:rsidRDefault="001C3B8A" w:rsidP="001C3B8A">
      <w:r>
        <w:t xml:space="preserve">As described in the </w:t>
      </w:r>
      <w:r w:rsidRPr="00CD1456">
        <w:rPr>
          <w:b/>
          <w:bCs/>
        </w:rPr>
        <w:t>Methodology</w:t>
      </w:r>
      <w:r>
        <w:t xml:space="preserve"> section, this analysis assumes a Scope 1 and Scope 2 emissions evaluation. However, several considerations impact the alternative fuel technologies described in this study. These are described below separate from a quantitative evaluation of emissions, health, or other social impacts.</w:t>
      </w:r>
    </w:p>
    <w:p w14:paraId="0F5CC770" w14:textId="77777777" w:rsidR="001C3B8A" w:rsidRDefault="001C3B8A" w:rsidP="001C3B8A">
      <w:pPr>
        <w:pStyle w:val="Heading3"/>
      </w:pPr>
      <w:bookmarkStart w:id="43" w:name="_Toc134183730"/>
      <w:r>
        <w:t>Battery Electric Buses</w:t>
      </w:r>
      <w:bookmarkEnd w:id="43"/>
    </w:p>
    <w:p w14:paraId="755BBF71" w14:textId="77777777" w:rsidR="001C3B8A" w:rsidRDefault="001C3B8A" w:rsidP="001C3B8A">
      <w:r>
        <w:t xml:space="preserve">The manufacturing and supply chain of a BEB differs substantially from a conventional diesel bus due to the materials and processes required to manufacture the eponymous battery. The batteries used for BEBs are lithium ion (Li-ion) batteries. As of the publication of this document, there are three main types of Li-ion battery cell chemistries used for BEBs: lithium titanium oxide, lithium iron phosphate, and lithium nickel magnesium cobalt oxide (Ager-Wick </w:t>
      </w:r>
      <w:proofErr w:type="spellStart"/>
      <w:r>
        <w:t>Ellingsen</w:t>
      </w:r>
      <w:proofErr w:type="spellEnd"/>
      <w:r>
        <w:t xml:space="preserve"> et al., 2022). While these cell chemistries differ on their elemental composition, energy density, lifespan, and charge rates, all Li-ion batteries require a significant amount of lithium. A global increase in battery electric vehicle production will require a significant upscaling in the lithium supply chain and lithium mining. Lithium production has already tripled between 2010 and 2020 and estimates have production increasing between 18 and 40-fold by 2050 (Vera et al. 2023).</w:t>
      </w:r>
    </w:p>
    <w:p w14:paraId="5BCC5540" w14:textId="77777777" w:rsidR="001C3B8A" w:rsidRDefault="001C3B8A" w:rsidP="001C3B8A">
      <w:r>
        <w:t>There are two main forms of lithium mining: mineral/hard rock mining and brine mining. The method of extraction depends on the natural state in which the lithium is found. Hard rock mining is used when hard rock lithium ore can be found; Australia, the world’s largest lithium exporter, uses the hard rock mining method. Hard rock mining is, in essence, “classic mining” where ore is discovered and then extracted either through surface mining or underground mining. Brine mining is used in areas such as the lithium triangle (a section of salt flats in the Atacama Desert where the political boundaries of Chile, Bolivia, and Argentina converge and is the world’s largest source of lithium), Tibet, and the United States where the lithium is dissolved in an underground brine, an aqueous solution with dissolved solids. The brine is pumped out of the ground and placed in into holding beds/pools where the solution is left for months until evaporation reduces the water content and increases the lithium carbonate concentration. The concentrated brine is then shipped to a refinement facility to become the final product. Throughout the evaporation process, fresh water and chemicals are used to treat and filter the brine (Vera et al., 2023).</w:t>
      </w:r>
    </w:p>
    <w:p w14:paraId="48EF5430" w14:textId="77777777" w:rsidR="001C3B8A" w:rsidRDefault="001C3B8A" w:rsidP="001C3B8A">
      <w:r>
        <w:t xml:space="preserve">The environmental impacts of hard rock mining are the destruction of the environment directly at the site of the mining operation and disturbances in the area adjacent, large emissions of PM containing potentially containing toxic heavy metals, the pollution of surface water and groundwater, as well as GHG emissions from the work vehicles and mining equipment which do not have a zero-emission alternative, currently. Brine mining limits the number of changes to the physical landscape compared to hard rock mining, but brine mining is extremely water intensive. Local areas often experience water shortages due to the necessary water inputs of a brine mining operation, and the extracting of the underground brine causes changes to the soil composition negatively affecting local flora and agriculture (Ahmad, 2020). Additionally, the chemicals used to treat and filter the brine solution often leaches out into the environment which pollutes local water supplies, contaminates the soil, and damages the biodiversity of the corresponding area (Vera et al., 2023). </w:t>
      </w:r>
    </w:p>
    <w:p w14:paraId="207D8A69" w14:textId="46DCB67F" w:rsidR="001C3B8A" w:rsidRDefault="001C3B8A" w:rsidP="001C3B8A">
      <w:r>
        <w:t xml:space="preserve">Another important consideration with BEB production is that the demand for lithium might outstrip the lithium industry’s production capacity. The global demand for lithium has increased recently, so the lithium industry and lithium extraction practices are not as mature as extraction practices for other minerals. Additionally, the USGS estimates that as of 2017, that only one third of the world’s lithium could be extracted/recoverable. Extraction practices are likely to mature as the lithium industry grows (for example, since </w:t>
      </w:r>
      <w:r w:rsidR="006D43B4">
        <w:t xml:space="preserve">the 2017 </w:t>
      </w:r>
      <w:r>
        <w:t xml:space="preserve">USGS report, the USGS's estimate of the global supply of lithium doubled due to better discoverable practices) but ramping up production will still take time as a lithium mine takes years to begin full production (Bradley et al., 2017). Depending on how fast the EV industry grows, the supply for lithium may become pinched in the short-term and competition from the electronics and personal automobile industries may drive up the price of lithium batteries. It is important to note, that lithium is a non-renewable resource, so while the Earth has enough lithium reserves to supply the global demands for years to come, lithium mining and thus lithium products are not self-sustaining. Depending on the maturation of extraction methods, a lithium shortage is unlikely in the long-term, but it is worth consideration that lithium is ultimately a finite and fleeting resource. </w:t>
      </w:r>
    </w:p>
    <w:p w14:paraId="0B3390E0" w14:textId="77777777" w:rsidR="001C3B8A" w:rsidRDefault="001C3B8A" w:rsidP="001C3B8A">
      <w:r>
        <w:t xml:space="preserve">The supply of lithium and thus utility of BEBs can be extended with recycling or repurposing of old batteries, but the actual effectiveness of recycling and repurposing old bus batteries is ambiguous. Currently, only 5% of Li-ion batteries are recycled in the US, but that number will likely rise as Li-ion battery technology matures and greater research is performed (Seltzer, 2022). The relative size of a Li-ion for a BEB compared to an EV or a personal electronic device increases the likelihood of the battery being repurposed or scrapped for parts. However, assumptions that the batteries of procured BEBs will be recycled/repurposed thus minimizing the effects of manufacturing the batteries is currently unfounded.  </w:t>
      </w:r>
    </w:p>
    <w:p w14:paraId="544993BA" w14:textId="77777777" w:rsidR="001C3B8A" w:rsidRDefault="001C3B8A" w:rsidP="001C3B8A">
      <w:pPr>
        <w:pStyle w:val="Heading3"/>
      </w:pPr>
      <w:bookmarkStart w:id="44" w:name="_Toc134183731"/>
      <w:r>
        <w:t>Hydrogen Fuel Cell Buses</w:t>
      </w:r>
      <w:bookmarkEnd w:id="44"/>
    </w:p>
    <w:p w14:paraId="25B522CF" w14:textId="77777777" w:rsidR="001C3B8A" w:rsidRDefault="001C3B8A" w:rsidP="001C3B8A">
      <w:r>
        <w:t>The manufacturing of hydrogen fuel cell buses carries similar external environmental and social impacts as a BEB because a FCEB propulsion system also relies on a Li-ion battery. However, the Li-ion battery for a FCEB is much smaller than a Li-ion battery for a BEB, and the greater range of a FCEB results in less vehicles needing to be procured to replace diesel buses than with a BEB. As a result, the production of one FCEB is less responsible for the negative social and environmental impacts associated with the mining of lithium and the production of Li-ion batteries as one BEB, but the negative externalities will still result from FCEB production.</w:t>
      </w:r>
    </w:p>
    <w:p w14:paraId="310529AE" w14:textId="0768C522" w:rsidR="001C3B8A" w:rsidRDefault="001C3B8A" w:rsidP="001C3B8A">
      <w:r>
        <w:t xml:space="preserve">Hydrogen fuel </w:t>
      </w:r>
      <w:r w:rsidR="00202AF4">
        <w:t xml:space="preserve">technology </w:t>
      </w:r>
      <w:r>
        <w:t xml:space="preserve">is still maturing and not widely used for transportation purposes outside of California, thus few energy companies currently produce hydrogen fuel. </w:t>
      </w:r>
      <w:r w:rsidR="00A54240">
        <w:t>Currently, t</w:t>
      </w:r>
      <w:r>
        <w:t xml:space="preserve">he primary hydrogen production method is </w:t>
      </w:r>
      <w:r w:rsidR="00A54240">
        <w:t>g</w:t>
      </w:r>
      <w:r w:rsidR="00C867DA">
        <w:t>ray</w:t>
      </w:r>
      <w:r>
        <w:t xml:space="preserve"> hydrogen: hydrogen produced through a process known as </w:t>
      </w:r>
      <w:r w:rsidRPr="00CD1456">
        <w:rPr>
          <w:i/>
          <w:iCs/>
        </w:rPr>
        <w:t>Steam Methane Reformation</w:t>
      </w:r>
      <w:r>
        <w:t xml:space="preserve"> (SMR), without carbon capture. SMR is a process where a methane source, such as natural gases, is heated to the point where the methane molecules break down into hydrogen, carbon monoxide, and small amount of carbon dioxide (US Department of Energy, n.d.). The carbon monoxide and carbon dioxide are released into the atmosphere negatively affecting the local air quality near the plant and resulting in GHG emissions. A transition to FCEBs would likely require the use of </w:t>
      </w:r>
      <w:r w:rsidR="002461A8">
        <w:t>g</w:t>
      </w:r>
      <w:r w:rsidR="00C867DA">
        <w:t>ray</w:t>
      </w:r>
      <w:r>
        <w:t xml:space="preserve"> hydrogen in the near-term, thus the CAT fleet would have notable upstream GHG emissions as demonstrated in the </w:t>
      </w:r>
      <w:r w:rsidR="00C867DA">
        <w:t>Gray</w:t>
      </w:r>
      <w:r>
        <w:t xml:space="preserve"> Hydrogen scenario. </w:t>
      </w:r>
    </w:p>
    <w:p w14:paraId="2E1CC0D1" w14:textId="63836C35" w:rsidR="001C3B8A" w:rsidRDefault="001C3B8A" w:rsidP="001C3B8A">
      <w:r>
        <w:t xml:space="preserve">Green hydrogen production (hydrogen produced through electrolysis powered using electricity from renewable sources) is not as established as </w:t>
      </w:r>
      <w:r w:rsidR="003B44A8">
        <w:t>g</w:t>
      </w:r>
      <w:r w:rsidR="00C867DA">
        <w:t>ray</w:t>
      </w:r>
      <w:r>
        <w:t xml:space="preserve"> hydrogen production and thus the supply of green hydrogen is scarce. Additionally, electrolysis is an energy-intensive process, and emissions </w:t>
      </w:r>
      <w:proofErr w:type="gramStart"/>
      <w:r>
        <w:t>as a result of</w:t>
      </w:r>
      <w:proofErr w:type="gramEnd"/>
      <w:r>
        <w:t xml:space="preserve"> production vary based on the composition of the electric grid. Green hydrogen has great potential for GHG reductions and efforts are underway to increase its production. However, a near-term transition of CAT to hydrogen fuel </w:t>
      </w:r>
      <w:r w:rsidR="003B44A8">
        <w:t xml:space="preserve">may </w:t>
      </w:r>
      <w:r>
        <w:t xml:space="preserve">require a proportion of </w:t>
      </w:r>
      <w:r w:rsidR="003B44A8">
        <w:t>g</w:t>
      </w:r>
      <w:r w:rsidR="00C867DA">
        <w:t>ray</w:t>
      </w:r>
      <w:r>
        <w:t xml:space="preserve"> hydrogen while technology and supply chains develop.</w:t>
      </w:r>
      <w:r w:rsidR="003B44A8">
        <w:t xml:space="preserve"> </w:t>
      </w:r>
      <w:r w:rsidR="003B44A8">
        <w:t>Additionally, a FCEB transition would likely require CAT to received hydrogen fuel deliveries by truck unless a hydrogen production facility is built on site. The shipping of the hydrogen fuel would result in GHG emissions as the closest industrial hydrogen production plants to the City of Charlottesville are over 150 miles away.</w:t>
      </w:r>
    </w:p>
    <w:p w14:paraId="201DEC24" w14:textId="77777777" w:rsidR="001C3B8A" w:rsidRDefault="001C3B8A" w:rsidP="001C3B8A">
      <w:pPr>
        <w:pStyle w:val="Heading3"/>
      </w:pPr>
      <w:bookmarkStart w:id="45" w:name="_Toc134183732"/>
      <w:r>
        <w:t>Natural Gas and Renewable Natural Gas Buses</w:t>
      </w:r>
      <w:bookmarkEnd w:id="45"/>
    </w:p>
    <w:p w14:paraId="36F8EF3B" w14:textId="77777777" w:rsidR="001C3B8A" w:rsidRDefault="001C3B8A" w:rsidP="001C3B8A">
      <w:r>
        <w:t xml:space="preserve">The production of fossilized (non-renewable) natural gas has increased in the United States and throughout the world. In the United States, the most common form of natural gas extraction is through hydraulic fracturing, commonly known as fracking. Natural gas is commonly found trapped within shale and other sedimentary rock, and with fracking, a well is dug into the layer of shale and sedimentary rock </w:t>
      </w:r>
      <w:sdt>
        <w:sdtPr>
          <w:id w:val="444743996"/>
          <w:citation/>
        </w:sdtPr>
        <w:sdtContent>
          <w:r>
            <w:fldChar w:fldCharType="begin"/>
          </w:r>
          <w:r>
            <w:instrText xml:space="preserve"> CITATION Wat19 \l 1033 </w:instrText>
          </w:r>
          <w:r>
            <w:fldChar w:fldCharType="separate"/>
          </w:r>
          <w:r>
            <w:rPr>
              <w:noProof/>
            </w:rPr>
            <w:t>(Water Resources Mission Area, 2019)</w:t>
          </w:r>
          <w:r>
            <w:fldChar w:fldCharType="end"/>
          </w:r>
        </w:sdtContent>
      </w:sdt>
      <w:r>
        <w:t>. A highly pressurized mixture of water, sand, and chemicals is then pumped through the well to further split and crack the layer of rock to release and capture the stored oil and gas. The liquid mixture is then pumped back up to the surface, the oil and gas is extracted, and the pumping liquid is either disposed of or reused.</w:t>
      </w:r>
    </w:p>
    <w:p w14:paraId="06FE6F39" w14:textId="34D5112C" w:rsidR="001C3B8A" w:rsidRDefault="001C3B8A" w:rsidP="001C3B8A">
      <w:r>
        <w:t>Fracking poses multiple negative social and environmental externalities. The pumping liquid-mixture used to crack the layer of rock often contains toxic chemicals, such as benzene, lead, and methanol, which has been known to seep into the surround</w:t>
      </w:r>
      <w:r w:rsidR="005379F1">
        <w:t>ing</w:t>
      </w:r>
      <w:r>
        <w:t xml:space="preserve"> area’s water supply due to cracks in the wells, improper disposal of the used mixture, or traveling through the rock layer into groundwater</w:t>
      </w:r>
      <w:sdt>
        <w:sdtPr>
          <w:id w:val="478428529"/>
          <w:citation/>
        </w:sdtPr>
        <w:sdtContent>
          <w:r>
            <w:fldChar w:fldCharType="begin"/>
          </w:r>
          <w:r>
            <w:instrText xml:space="preserve"> CITATION Uni11 \l 1033 </w:instrText>
          </w:r>
          <w:r>
            <w:fldChar w:fldCharType="separate"/>
          </w:r>
          <w:r>
            <w:rPr>
              <w:noProof/>
            </w:rPr>
            <w:t xml:space="preserve"> (United States House of Representatives Committee on Energy and Commerce Minority Staff, 2011)</w:t>
          </w:r>
          <w:r>
            <w:fldChar w:fldCharType="end"/>
          </w:r>
        </w:sdtContent>
      </w:sdt>
      <w:r>
        <w:t>. This often leaves the communities in the vicinity of fracking operations without access to clean drinking water</w:t>
      </w:r>
      <w:r w:rsidR="00261FB8">
        <w:t xml:space="preserve"> and</w:t>
      </w:r>
      <w:r>
        <w:t xml:space="preserve"> can cause serious health effects if the contaminated water in ingested. The pumping of highly pressurized liquid underground for extraction or storage purposes also causes seismic activity to occur in the area at and around the fracking or storage </w:t>
      </w:r>
      <w:r w:rsidR="00261FB8">
        <w:t>s</w:t>
      </w:r>
      <w:r>
        <w:t xml:space="preserve">ite; this is commonly referred to as induced earthquakes/seismicity </w:t>
      </w:r>
      <w:sdt>
        <w:sdtPr>
          <w:id w:val="-1661540971"/>
          <w:citation/>
        </w:sdtPr>
        <w:sdtContent>
          <w:r>
            <w:fldChar w:fldCharType="begin"/>
          </w:r>
          <w:r>
            <w:instrText xml:space="preserve"> CITATION Sch20 \l 1033 </w:instrText>
          </w:r>
          <w:r>
            <w:fldChar w:fldCharType="separate"/>
          </w:r>
          <w:r>
            <w:rPr>
              <w:noProof/>
            </w:rPr>
            <w:t>(Schultz, et al., 2020)</w:t>
          </w:r>
          <w:r>
            <w:fldChar w:fldCharType="end"/>
          </w:r>
        </w:sdtContent>
      </w:sdt>
      <w:r>
        <w:t xml:space="preserve">. As fracking often occurs in areas not known for seismic activity, the seismic activity induced from the fracking process has been known to damage public utilities and private property. </w:t>
      </w:r>
    </w:p>
    <w:p w14:paraId="69FD8771" w14:textId="77777777" w:rsidR="001C3B8A" w:rsidRDefault="001C3B8A" w:rsidP="001C3B8A">
      <w:r>
        <w:t xml:space="preserve">While RNG presents the opportunities to repurpose a by-product and decrease carbon emissions in the near-term, a long-term transition to RNG presents challenges. The largest challenge with a potential transition to RNG is RNG’s limited availability. The potential RNG that could be produced from renewable sources (i.e., landfills, wastewater sludge, animal manure, and organic waste) could replace about 5% of the energy sector’s demand for natural gas and 56% of the transportation sector’s consumption of natural gas (NREL, 2013). While improved anaerobic digestion and the repurposing of greater biomass resources for gas production could increase the amount of RNG available, the supply of RNG would likely not be great enough to be used reliably as a fuel for municipal transit fleets; competing interests to use RNG for the energy sector or for heating buildings would also cut into the supply of RNG. </w:t>
      </w:r>
    </w:p>
    <w:p w14:paraId="3E41DA8F" w14:textId="77777777" w:rsidR="001C3B8A" w:rsidRPr="001C308C" w:rsidRDefault="001C3B8A" w:rsidP="001C3B8A">
      <w:r>
        <w:t xml:space="preserve">A secondary consideration for RNG is that a transition to RNG buses might not produce the GHG reductions the City of Charlottesville intends to reach. As previously stated in the methodology section, the calculations behind the AFLEET tool produces “negative” GHG emissions that are evaluated as methane that </w:t>
      </w:r>
      <w:r w:rsidRPr="00CD1456">
        <w:rPr>
          <w:b/>
          <w:bCs/>
          <w:i/>
          <w:iCs/>
        </w:rPr>
        <w:t>would have</w:t>
      </w:r>
      <w:r>
        <w:t xml:space="preserve"> been vented into the atmosphere. The methodology considers the combustion of RNG produces less total GHG emissions than letting the methane vent into the atmosphere directly from its fuel stock source (e.g., an anaerobic digester, farm, or landfill); the difference between the GHG emission from the untreated methane and the combustion of the RNG fuel is then used as the resulting GHG emissions from the fuel (US Environmental Protection Agency, 2021). While RNG fuel has a lower carbon intensity than pure methane and may reduce atmospheric carbon, the combustion of RNG will still produce the same tailpipe GHG emissions as fossilized natural gas fuel. A CAT fleet that transitions to RNG fuel will still produce GHG emissions, and CAT could not reach the City of Charlottesville’s goal of carbon neutrality with a RNG fleet. </w:t>
      </w:r>
    </w:p>
    <w:p w14:paraId="7F6A77FD" w14:textId="77777777" w:rsidR="001C3B8A" w:rsidRPr="00915B55" w:rsidRDefault="001C3B8A" w:rsidP="001C3B8A">
      <w:pPr>
        <w:pStyle w:val="Heading1"/>
      </w:pPr>
      <w:bookmarkStart w:id="46" w:name="_Toc134183733"/>
      <w:r>
        <w:t>Conclusion</w:t>
      </w:r>
      <w:bookmarkEnd w:id="46"/>
    </w:p>
    <w:p w14:paraId="328A0F29" w14:textId="77777777" w:rsidR="001C3B8A" w:rsidRDefault="001C3B8A" w:rsidP="001C3B8A">
      <w:r>
        <w:t>This assessment laid out climate and health impacts of transitioning away from a diesel-based fleet to one fueled through alternative fuels. All alternative fuel transition scenarios will reduce CAT’s GHG emissions, and transitioning to a fleet composed of either BEB, Green FCEB, or RNG buses will bring CAT closer to their carbon emissions reduction goal. A BEB or FCEB transition would also eliminate and/or reduce local emissions of air pollutants which negatively affect human health. A natural gas bus (CNG or RNG) transition from diesel buses would benefit the health of Charlottesville’s local community through the reduction of local air pollutants such as NO</w:t>
      </w:r>
      <w:r w:rsidRPr="00CD1456">
        <w:rPr>
          <w:vertAlign w:val="subscript"/>
        </w:rPr>
        <w:t>x</w:t>
      </w:r>
      <w:r>
        <w:t xml:space="preserve">, VOC, and </w:t>
      </w:r>
      <w:proofErr w:type="spellStart"/>
      <w:r>
        <w:t>SO</w:t>
      </w:r>
      <w:r w:rsidRPr="00CD1456">
        <w:rPr>
          <w:vertAlign w:val="subscript"/>
        </w:rPr>
        <w:t>x</w:t>
      </w:r>
      <w:proofErr w:type="spellEnd"/>
      <w:r>
        <w:t xml:space="preserve">, but this would also result in a ten-fold increase in local CO emissions. </w:t>
      </w:r>
      <w:bookmarkStart w:id="47" w:name="OLE_LINK6"/>
    </w:p>
    <w:p w14:paraId="7574613F" w14:textId="77777777" w:rsidR="001C3B8A" w:rsidRDefault="001C3B8A" w:rsidP="001C3B8A">
      <w:r>
        <w:t>The environmental and health benefits of transitioning to an alternatively fueled fleet are limited by the rate of replacement of diesel buses and the decarbonization of Virginia’s electric grid.</w:t>
      </w:r>
      <w:bookmarkEnd w:id="47"/>
      <w:r>
        <w:rPr>
          <w:b/>
          <w:bCs/>
        </w:rPr>
        <w:t xml:space="preserve"> </w:t>
      </w:r>
      <w:r>
        <w:t>While this assessment does not lay out a recommended transition scenario for CAT’s fleet, the environmental and health impacts of a potential transition of CAT’s fleet should be considered with the results of the accompanying Feasibility Study.</w:t>
      </w:r>
    </w:p>
    <w:p w14:paraId="0CC3A76D" w14:textId="77777777" w:rsidR="001C3B8A" w:rsidRDefault="001C3B8A" w:rsidP="001C3B8A">
      <w:r>
        <w:br w:type="page"/>
      </w:r>
    </w:p>
    <w:p w14:paraId="48FAA5B0" w14:textId="77777777" w:rsidR="001C3B8A" w:rsidRDefault="001C3B8A" w:rsidP="001C3B8A">
      <w:pPr>
        <w:pStyle w:val="Heading1"/>
      </w:pPr>
      <w:bookmarkStart w:id="48" w:name="_Toc134183734"/>
      <w:r>
        <w:t>References</w:t>
      </w:r>
      <w:bookmarkEnd w:id="48"/>
    </w:p>
    <w:p w14:paraId="52B32767" w14:textId="77777777" w:rsidR="001C3B8A" w:rsidRPr="00B84FEC" w:rsidRDefault="001C3B8A" w:rsidP="001C3B8A">
      <w:pPr>
        <w:pStyle w:val="PhotoDescription"/>
        <w:rPr>
          <w:rFonts w:asciiTheme="majorHAnsi" w:hAnsiTheme="majorHAnsi" w:cstheme="majorHAnsi"/>
          <w:sz w:val="22"/>
          <w:szCs w:val="22"/>
        </w:rPr>
      </w:pPr>
    </w:p>
    <w:p w14:paraId="3DFB8BC9" w14:textId="77777777" w:rsidR="001C3B8A" w:rsidRPr="00B84FEC" w:rsidDel="00DF486C" w:rsidRDefault="001C3B8A" w:rsidP="001C3B8A">
      <w:pPr>
        <w:spacing w:after="0" w:line="480" w:lineRule="auto"/>
        <w:ind w:left="720" w:hanging="720"/>
        <w:rPr>
          <w:rFonts w:asciiTheme="majorHAnsi" w:eastAsia="Times New Roman" w:hAnsiTheme="majorHAnsi" w:cstheme="majorHAnsi"/>
        </w:rPr>
      </w:pPr>
      <w:bookmarkStart w:id="49" w:name="OLE_LINK8"/>
      <w:r w:rsidRPr="00B84FEC">
        <w:rPr>
          <w:rFonts w:asciiTheme="majorHAnsi" w:eastAsia="Times New Roman" w:hAnsiTheme="majorHAnsi" w:cstheme="majorHAnsi"/>
        </w:rPr>
        <w:t xml:space="preserve">Ager-Wick </w:t>
      </w:r>
      <w:proofErr w:type="spellStart"/>
      <w:r w:rsidRPr="00B84FEC">
        <w:rPr>
          <w:rFonts w:asciiTheme="majorHAnsi" w:eastAsia="Times New Roman" w:hAnsiTheme="majorHAnsi" w:cstheme="majorHAnsi"/>
        </w:rPr>
        <w:t>Ellingsen</w:t>
      </w:r>
      <w:proofErr w:type="spellEnd"/>
      <w:r w:rsidRPr="00B84FEC">
        <w:rPr>
          <w:rFonts w:asciiTheme="majorHAnsi" w:eastAsia="Times New Roman" w:hAnsiTheme="majorHAnsi" w:cstheme="majorHAnsi"/>
        </w:rPr>
        <w:t xml:space="preserve">, Linda, et al. “Life Cycle Assessment of Battery Electric Buses.” </w:t>
      </w:r>
      <w:r w:rsidRPr="00B84FEC">
        <w:rPr>
          <w:rFonts w:asciiTheme="majorHAnsi" w:eastAsia="Times New Roman" w:hAnsiTheme="majorHAnsi" w:cstheme="majorHAnsi"/>
          <w:i/>
          <w:iCs/>
        </w:rPr>
        <w:t>Transportation Research Part D: Transport and Environment</w:t>
      </w:r>
      <w:r w:rsidRPr="00B84FEC">
        <w:rPr>
          <w:rFonts w:asciiTheme="majorHAnsi" w:eastAsia="Times New Roman" w:hAnsiTheme="majorHAnsi" w:cstheme="majorHAnsi"/>
        </w:rPr>
        <w:t>, vol. 112, Nov. 2022, p. 103498, https://doi.org/10.1016/j.trd.2022.103498. Accessed 9 Jan. 2023.</w:t>
      </w:r>
    </w:p>
    <w:p w14:paraId="762E7109" w14:textId="77777777" w:rsidR="001C3B8A" w:rsidRPr="00B84FEC" w:rsidRDefault="001C3B8A" w:rsidP="001C3B8A">
      <w:pPr>
        <w:spacing w:after="0" w:line="480" w:lineRule="auto"/>
        <w:ind w:left="720" w:hanging="720"/>
        <w:rPr>
          <w:rFonts w:asciiTheme="majorHAnsi" w:eastAsia="Times New Roman" w:hAnsiTheme="majorHAnsi" w:cstheme="majorHAnsi"/>
        </w:rPr>
      </w:pPr>
      <w:bookmarkStart w:id="50" w:name="OLE_LINK21"/>
      <w:bookmarkEnd w:id="49"/>
      <w:r w:rsidRPr="00B84FEC">
        <w:rPr>
          <w:rFonts w:asciiTheme="majorHAnsi" w:eastAsia="Times New Roman" w:hAnsiTheme="majorHAnsi" w:cstheme="majorHAnsi"/>
        </w:rPr>
        <w:t xml:space="preserve">Ahmad, Samar. “The Lithium Triangle: Where Chile, Argentina, and Bolivia Meet.” </w:t>
      </w:r>
      <w:r w:rsidRPr="00B84FEC">
        <w:rPr>
          <w:rFonts w:asciiTheme="majorHAnsi" w:eastAsia="Times New Roman" w:hAnsiTheme="majorHAnsi" w:cstheme="majorHAnsi"/>
          <w:i/>
          <w:iCs/>
        </w:rPr>
        <w:t>Harvard International Review</w:t>
      </w:r>
      <w:r w:rsidRPr="00B84FEC">
        <w:rPr>
          <w:rFonts w:asciiTheme="majorHAnsi" w:eastAsia="Times New Roman" w:hAnsiTheme="majorHAnsi" w:cstheme="majorHAnsi"/>
        </w:rPr>
        <w:t>, Harvard International Review, 15 Jan. 2020, hir.harvard.edu/lithium-triangle/.</w:t>
      </w:r>
    </w:p>
    <w:p w14:paraId="6EB3705C"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American Lung Association. “Volatile Organic Compounds.” </w:t>
      </w:r>
      <w:r w:rsidRPr="00B84FEC">
        <w:rPr>
          <w:rFonts w:asciiTheme="majorHAnsi" w:eastAsia="Times New Roman" w:hAnsiTheme="majorHAnsi" w:cstheme="majorHAnsi"/>
          <w:i/>
          <w:iCs/>
        </w:rPr>
        <w:t>Www.lung.org</w:t>
      </w:r>
      <w:r w:rsidRPr="00B84FEC">
        <w:rPr>
          <w:rFonts w:asciiTheme="majorHAnsi" w:eastAsia="Times New Roman" w:hAnsiTheme="majorHAnsi" w:cstheme="majorHAnsi"/>
        </w:rPr>
        <w:t>, 12 Feb. 2020, www.lung.org/clean-air/at-home/indoor-air-pollutants/volatile-organic-compounds.</w:t>
      </w:r>
    </w:p>
    <w:p w14:paraId="74EA70A1"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Bradley, Dwight C., et al. “Critical Mineral Resources of the United States—Economic and Environmental Geology and Prospects for Future Supply; Chapter K: Lithium.” </w:t>
      </w:r>
      <w:r w:rsidRPr="00B84FEC">
        <w:rPr>
          <w:rFonts w:asciiTheme="majorHAnsi" w:eastAsia="Times New Roman" w:hAnsiTheme="majorHAnsi" w:cstheme="majorHAnsi"/>
          <w:i/>
          <w:iCs/>
        </w:rPr>
        <w:t>Pubs.er.usgs.gov</w:t>
      </w:r>
      <w:r w:rsidRPr="00B84FEC">
        <w:rPr>
          <w:rFonts w:asciiTheme="majorHAnsi" w:eastAsia="Times New Roman" w:hAnsiTheme="majorHAnsi" w:cstheme="majorHAnsi"/>
        </w:rPr>
        <w:t xml:space="preserve">, US Geological </w:t>
      </w:r>
      <w:proofErr w:type="gramStart"/>
      <w:r w:rsidRPr="00B84FEC">
        <w:rPr>
          <w:rFonts w:asciiTheme="majorHAnsi" w:eastAsia="Times New Roman" w:hAnsiTheme="majorHAnsi" w:cstheme="majorHAnsi"/>
        </w:rPr>
        <w:t>Survey ,</w:t>
      </w:r>
      <w:proofErr w:type="gramEnd"/>
      <w:r w:rsidRPr="00B84FEC">
        <w:rPr>
          <w:rFonts w:asciiTheme="majorHAnsi" w:eastAsia="Times New Roman" w:hAnsiTheme="majorHAnsi" w:cstheme="majorHAnsi"/>
        </w:rPr>
        <w:t xml:space="preserve"> 2017, pubs.er.usgs.gov/publication/pp1802K.</w:t>
      </w:r>
    </w:p>
    <w:p w14:paraId="60EFD064" w14:textId="77777777" w:rsidR="001C3B8A" w:rsidRDefault="001C3B8A" w:rsidP="001C3B8A">
      <w:pPr>
        <w:spacing w:before="100" w:beforeAutospacing="1" w:after="100" w:afterAutospacing="1" w:line="360" w:lineRule="auto"/>
        <w:ind w:left="567" w:hanging="567"/>
        <w:rPr>
          <w:rFonts w:asciiTheme="majorHAnsi" w:eastAsia="Times New Roman" w:hAnsiTheme="majorHAnsi" w:cstheme="majorHAnsi"/>
        </w:rPr>
      </w:pPr>
      <w:r w:rsidRPr="00B84FEC">
        <w:rPr>
          <w:rFonts w:asciiTheme="majorHAnsi" w:eastAsia="Times New Roman" w:hAnsiTheme="majorHAnsi" w:cstheme="majorHAnsi"/>
        </w:rPr>
        <w:t xml:space="preserve">California Air Resources Board. (n.d.). </w:t>
      </w:r>
      <w:r w:rsidRPr="00B84FEC">
        <w:rPr>
          <w:rFonts w:asciiTheme="majorHAnsi" w:eastAsia="Times New Roman" w:hAnsiTheme="majorHAnsi" w:cstheme="majorHAnsi"/>
          <w:i/>
          <w:iCs/>
        </w:rPr>
        <w:t>Carbon Monoxide &amp; Health</w:t>
      </w:r>
      <w:r w:rsidRPr="00B84FEC">
        <w:rPr>
          <w:rFonts w:asciiTheme="majorHAnsi" w:eastAsia="Times New Roman" w:hAnsiTheme="majorHAnsi" w:cstheme="majorHAnsi"/>
        </w:rPr>
        <w:t xml:space="preserve">. Carbon Monoxide &amp; Health | California Air Resources Board. Retrieved April 28, 2023, from https://ww2.arb.ca.gov/resources/carbon-monoxide-and-health#:~:text=Carbon%20monoxide%20is%20harmful%20because,oxygen%20delivery%20to%20the%20brain. </w:t>
      </w:r>
    </w:p>
    <w:sdt>
      <w:sdtPr>
        <w:id w:val="1080945217"/>
        <w:bibliography/>
      </w:sdtPr>
      <w:sdtContent>
        <w:bookmarkStart w:id="51" w:name="OLE_LINK17" w:displacedByCustomXml="prev"/>
        <w:p w14:paraId="6B1A6890" w14:textId="77777777" w:rsidR="001C3B8A" w:rsidRPr="00F02794" w:rsidRDefault="001C3B8A" w:rsidP="001C3B8A">
          <w:pPr>
            <w:pStyle w:val="Bibliography"/>
            <w:spacing w:line="480" w:lineRule="auto"/>
            <w:ind w:left="720" w:hanging="720"/>
            <w:rPr>
              <w:noProof/>
              <w:sz w:val="28"/>
              <w:szCs w:val="28"/>
            </w:rPr>
          </w:pPr>
          <w:r>
            <w:fldChar w:fldCharType="begin"/>
          </w:r>
          <w:r>
            <w:instrText xml:space="preserve"> BIBLIOGRAPHY </w:instrText>
          </w:r>
          <w:r>
            <w:fldChar w:fldCharType="separate"/>
          </w:r>
          <w:r w:rsidRPr="00F02794">
            <w:rPr>
              <w:noProof/>
              <w:szCs w:val="24"/>
            </w:rPr>
            <w:t xml:space="preserve">City of Charlottesville. (2021). </w:t>
          </w:r>
          <w:r w:rsidRPr="00F02794">
            <w:rPr>
              <w:i/>
              <w:iCs/>
              <w:noProof/>
              <w:szCs w:val="24"/>
            </w:rPr>
            <w:t>Climate Hazards - Summary of Projections for Charlottesville.</w:t>
          </w:r>
          <w:r w:rsidRPr="00F02794">
            <w:rPr>
              <w:noProof/>
              <w:szCs w:val="24"/>
            </w:rPr>
            <w:t xml:space="preserve"> Charlottesville, VA: City of Charlottesville. Retrieved from https://www.charlottesville.gov/DocumentCenter/View/6565/Adaptation-Planning---Charlottesville-VA---Climate-Hazards-Summary-Memo?bidId=</w:t>
          </w:r>
        </w:p>
        <w:p w14:paraId="6F2A4D27" w14:textId="77777777" w:rsidR="001C3B8A" w:rsidRPr="00F02794" w:rsidRDefault="001C3B8A" w:rsidP="001C3B8A">
          <w:pPr>
            <w:pStyle w:val="Bibliography"/>
            <w:ind w:left="720" w:hanging="720"/>
            <w:rPr>
              <w:noProof/>
            </w:rPr>
          </w:pPr>
          <w:r>
            <w:rPr>
              <w:noProof/>
            </w:rPr>
            <w:t xml:space="preserve">Schultz, R., Skoumal, R. J., Brudzinski, M. R., Eaton, D., Baptie, B., &amp; Ellsworth, W. (2020). Hydraulic Fracturing-Induced Seismicity. </w:t>
          </w:r>
          <w:r>
            <w:rPr>
              <w:i/>
              <w:iCs/>
              <w:noProof/>
            </w:rPr>
            <w:t>Reviews of Geophysics</w:t>
          </w:r>
          <w:r>
            <w:rPr>
              <w:noProof/>
            </w:rPr>
            <w:t>.</w:t>
          </w:r>
          <w:r>
            <w:rPr>
              <w:b/>
              <w:bCs/>
              <w:noProof/>
            </w:rPr>
            <w:fldChar w:fldCharType="end"/>
          </w:r>
        </w:p>
      </w:sdtContent>
    </w:sdt>
    <w:bookmarkEnd w:id="51"/>
    <w:p w14:paraId="44DEC049" w14:textId="77777777" w:rsidR="001C3B8A" w:rsidRPr="00B84FEC" w:rsidRDefault="001C3B8A" w:rsidP="001C3B8A">
      <w:pPr>
        <w:spacing w:before="100" w:beforeAutospacing="1" w:after="100" w:afterAutospacing="1" w:line="360" w:lineRule="auto"/>
        <w:rPr>
          <w:rFonts w:asciiTheme="majorHAnsi" w:eastAsia="Times New Roman" w:hAnsiTheme="majorHAnsi" w:cstheme="majorHAnsi"/>
        </w:rPr>
      </w:pPr>
    </w:p>
    <w:p w14:paraId="308398BF"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City of Charlottesville. “CLIMATE ACTION PLAN: A Plan for Reducing Greenhouse Gas Emissions.” </w:t>
      </w:r>
      <w:r w:rsidRPr="00B84FEC">
        <w:rPr>
          <w:rFonts w:asciiTheme="majorHAnsi" w:eastAsia="Times New Roman" w:hAnsiTheme="majorHAnsi" w:cstheme="majorHAnsi"/>
          <w:i/>
          <w:iCs/>
        </w:rPr>
        <w:t>Charlottesville</w:t>
      </w:r>
      <w:r w:rsidRPr="00B84FEC">
        <w:rPr>
          <w:rFonts w:asciiTheme="majorHAnsi" w:eastAsia="Times New Roman" w:hAnsiTheme="majorHAnsi" w:cstheme="majorHAnsi"/>
        </w:rPr>
        <w:t>, Mar. 2023, www.charlottesville.gov/DocumentCenter/View/8776/Charlottesville-Climate-Action-Plan-PDF.</w:t>
      </w:r>
    </w:p>
    <w:p w14:paraId="4387A443"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National Renewable Energy Laboratory. “Biogas Potential in the United States.” </w:t>
      </w:r>
      <w:r w:rsidRPr="00B84FEC">
        <w:rPr>
          <w:rFonts w:asciiTheme="majorHAnsi" w:eastAsia="Times New Roman" w:hAnsiTheme="majorHAnsi" w:cstheme="majorHAnsi"/>
          <w:i/>
          <w:iCs/>
        </w:rPr>
        <w:t>Biogas Potential in the United States (Fact Sheet), Energy Analysis, NREL (National Renewable Energy Laboratory)</w:t>
      </w:r>
      <w:r w:rsidRPr="00B84FEC">
        <w:rPr>
          <w:rFonts w:asciiTheme="majorHAnsi" w:eastAsia="Times New Roman" w:hAnsiTheme="majorHAnsi" w:cstheme="majorHAnsi"/>
        </w:rPr>
        <w:t xml:space="preserve">, National Renewable Energy </w:t>
      </w:r>
      <w:proofErr w:type="gramStart"/>
      <w:r w:rsidRPr="00B84FEC">
        <w:rPr>
          <w:rFonts w:asciiTheme="majorHAnsi" w:eastAsia="Times New Roman" w:hAnsiTheme="majorHAnsi" w:cstheme="majorHAnsi"/>
        </w:rPr>
        <w:t>Laboratory ,</w:t>
      </w:r>
      <w:proofErr w:type="gramEnd"/>
      <w:r w:rsidRPr="00B84FEC">
        <w:rPr>
          <w:rFonts w:asciiTheme="majorHAnsi" w:eastAsia="Times New Roman" w:hAnsiTheme="majorHAnsi" w:cstheme="majorHAnsi"/>
        </w:rPr>
        <w:t xml:space="preserve"> Aug. 2013, </w:t>
      </w:r>
      <w:bookmarkStart w:id="52" w:name="OLE_LINK14"/>
      <w:r w:rsidRPr="00B84FEC">
        <w:rPr>
          <w:rFonts w:asciiTheme="majorHAnsi" w:eastAsia="Times New Roman" w:hAnsiTheme="majorHAnsi" w:cstheme="majorHAnsi"/>
        </w:rPr>
        <w:t>www.nrel.gov/docs/fy14osti/60178.pdf</w:t>
      </w:r>
      <w:bookmarkEnd w:id="52"/>
      <w:r w:rsidRPr="00B84FEC">
        <w:rPr>
          <w:rFonts w:asciiTheme="majorHAnsi" w:eastAsia="Times New Roman" w:hAnsiTheme="majorHAnsi" w:cstheme="majorHAnsi"/>
        </w:rPr>
        <w:t>.</w:t>
      </w:r>
    </w:p>
    <w:p w14:paraId="45B5861E" w14:textId="77777777" w:rsidR="001C3B8A"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Seltzer, Molly. “A Better Way to Recycle Lithium Batteries Is Coming Soon from This Princeton Startup.” </w:t>
      </w:r>
      <w:r w:rsidRPr="00B84FEC">
        <w:rPr>
          <w:rFonts w:asciiTheme="majorHAnsi" w:eastAsia="Times New Roman" w:hAnsiTheme="majorHAnsi" w:cstheme="majorHAnsi"/>
          <w:i/>
          <w:iCs/>
        </w:rPr>
        <w:t>Princeton University</w:t>
      </w:r>
      <w:r w:rsidRPr="00B84FEC">
        <w:rPr>
          <w:rFonts w:asciiTheme="majorHAnsi" w:eastAsia="Times New Roman" w:hAnsiTheme="majorHAnsi" w:cstheme="majorHAnsi"/>
        </w:rPr>
        <w:t xml:space="preserve">, 3 Mar. 2022, </w:t>
      </w:r>
      <w:hyperlink r:id="rId44" w:history="1">
        <w:r w:rsidRPr="003306F5">
          <w:rPr>
            <w:rStyle w:val="Hyperlink"/>
            <w:rFonts w:eastAsia="Times New Roman" w:cstheme="majorHAnsi"/>
          </w:rPr>
          <w:t>www.princeton.edu/news/2022/03/01/better-way-recycle-lithium-batteries-coming-soon-princeton-startup</w:t>
        </w:r>
      </w:hyperlink>
      <w:r w:rsidRPr="00B84FEC">
        <w:rPr>
          <w:rFonts w:asciiTheme="majorHAnsi" w:eastAsia="Times New Roman" w:hAnsiTheme="majorHAnsi" w:cstheme="majorHAnsi"/>
        </w:rPr>
        <w:t>.</w:t>
      </w:r>
    </w:p>
    <w:p w14:paraId="5FE6F654" w14:textId="77777777" w:rsidR="001C3B8A" w:rsidRPr="00C0689F" w:rsidRDefault="001C3B8A" w:rsidP="001C3B8A">
      <w:pPr>
        <w:pStyle w:val="Bibliography"/>
        <w:spacing w:line="480" w:lineRule="auto"/>
        <w:ind w:left="720" w:hanging="720"/>
        <w:rPr>
          <w:noProof/>
          <w:szCs w:val="24"/>
        </w:rPr>
      </w:pPr>
      <w:r w:rsidRPr="00C0689F">
        <w:rPr>
          <w:noProof/>
          <w:szCs w:val="24"/>
        </w:rPr>
        <w:t xml:space="preserve">United States House of Representatives Committee on Energy and Commerce Minority Staff. (2011). </w:t>
      </w:r>
      <w:r w:rsidRPr="00C0689F">
        <w:rPr>
          <w:i/>
          <w:iCs/>
          <w:noProof/>
          <w:szCs w:val="24"/>
        </w:rPr>
        <w:t>Chemicals Used in Hydraulic Fracturing.</w:t>
      </w:r>
      <w:r w:rsidRPr="00C0689F">
        <w:rPr>
          <w:noProof/>
          <w:szCs w:val="24"/>
        </w:rPr>
        <w:t xml:space="preserve"> Washington, D.C.: United States House of Representatives Committee on Energy and Commerce.</w:t>
      </w:r>
    </w:p>
    <w:p w14:paraId="3A84CEA8"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US Department of Energy. “Hydrogen Production: Natural Gas Reforming.” </w:t>
      </w:r>
      <w:r w:rsidRPr="00B84FEC">
        <w:rPr>
          <w:rFonts w:asciiTheme="majorHAnsi" w:eastAsia="Times New Roman" w:hAnsiTheme="majorHAnsi" w:cstheme="majorHAnsi"/>
          <w:i/>
          <w:iCs/>
        </w:rPr>
        <w:t>Energy.gov</w:t>
      </w:r>
      <w:r w:rsidRPr="00B84FEC">
        <w:rPr>
          <w:rFonts w:asciiTheme="majorHAnsi" w:eastAsia="Times New Roman" w:hAnsiTheme="majorHAnsi" w:cstheme="majorHAnsi"/>
        </w:rPr>
        <w:t>, www.energy.gov/eere/fuelcells/hydrogen-production-natural-gas-reforming#:~:text=Most%20hydrogen%20produced%20today%20in.</w:t>
      </w:r>
    </w:p>
    <w:p w14:paraId="13F8CA37" w14:textId="77777777" w:rsidR="001C3B8A" w:rsidRPr="00B84FEC" w:rsidRDefault="001C3B8A" w:rsidP="001C3B8A">
      <w:pPr>
        <w:spacing w:after="0" w:line="480" w:lineRule="auto"/>
        <w:ind w:left="720" w:hanging="720"/>
        <w:rPr>
          <w:rFonts w:asciiTheme="majorHAnsi" w:eastAsia="Times New Roman" w:hAnsiTheme="majorHAnsi" w:cstheme="majorHAnsi"/>
        </w:rPr>
      </w:pPr>
      <w:bookmarkStart w:id="53" w:name="OLE_LINK22"/>
      <w:r w:rsidRPr="00B84FEC">
        <w:rPr>
          <w:rFonts w:asciiTheme="majorHAnsi" w:eastAsia="Times New Roman" w:hAnsiTheme="majorHAnsi" w:cstheme="majorHAnsi"/>
        </w:rPr>
        <w:t>US Environmental Protection Agency</w:t>
      </w:r>
      <w:bookmarkEnd w:id="53"/>
      <w:r w:rsidRPr="00B84FEC">
        <w:rPr>
          <w:rFonts w:asciiTheme="majorHAnsi" w:eastAsia="Times New Roman" w:hAnsiTheme="majorHAnsi" w:cstheme="majorHAnsi"/>
        </w:rPr>
        <w:t>. “AN OVERVIEW of RENEWABLE NATURAL GAS from BIOGAS.” US Environmental Protection Agency, Jan. 2021.</w:t>
      </w:r>
    </w:p>
    <w:p w14:paraId="4A7268E3"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US Environmental Protection Agency. “Nitrogen Oxides (NOx), Why and How They Are Controlled.” US Environmental Protection Agency, 1999.</w:t>
      </w:r>
    </w:p>
    <w:p w14:paraId="222E9C31"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US Environmental Protection Agency. “Office of Wastewater Management - Hardrock Mining: Environmental Impacts.” </w:t>
      </w:r>
      <w:r w:rsidRPr="00B84FEC">
        <w:rPr>
          <w:rFonts w:asciiTheme="majorHAnsi" w:eastAsia="Times New Roman" w:hAnsiTheme="majorHAnsi" w:cstheme="majorHAnsi"/>
          <w:i/>
          <w:iCs/>
        </w:rPr>
        <w:t>Www3.Epa.gov</w:t>
      </w:r>
      <w:r w:rsidRPr="00B84FEC">
        <w:rPr>
          <w:rFonts w:asciiTheme="majorHAnsi" w:eastAsia="Times New Roman" w:hAnsiTheme="majorHAnsi" w:cstheme="majorHAnsi"/>
        </w:rPr>
        <w:t>, US Environmental Protection Agency, www3.epa.gov/npdes/pubs/env2.htm#:~:text=In%20a%20few%20cases%2C%20dust.</w:t>
      </w:r>
    </w:p>
    <w:p w14:paraId="712AC177"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US Environmental Protection Agency. “Particulate Matter (PM) Basics | US EPA.” </w:t>
      </w:r>
      <w:r w:rsidRPr="00B84FEC">
        <w:rPr>
          <w:rFonts w:asciiTheme="majorHAnsi" w:eastAsia="Times New Roman" w:hAnsiTheme="majorHAnsi" w:cstheme="majorHAnsi"/>
          <w:i/>
          <w:iCs/>
        </w:rPr>
        <w:t>US Environmental Protection Agency</w:t>
      </w:r>
      <w:r w:rsidRPr="00B84FEC">
        <w:rPr>
          <w:rFonts w:asciiTheme="majorHAnsi" w:eastAsia="Times New Roman" w:hAnsiTheme="majorHAnsi" w:cstheme="majorHAnsi"/>
        </w:rPr>
        <w:t>, 14 Nov. 2018, www.epa.gov/pm-pollution/particulate-matter-pm-basics#PM.</w:t>
      </w:r>
    </w:p>
    <w:p w14:paraId="104CDEE1"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US Environmental Protection Agency. “Sulfur Dioxide Basics.” </w:t>
      </w:r>
      <w:r w:rsidRPr="00B84FEC">
        <w:rPr>
          <w:rFonts w:asciiTheme="majorHAnsi" w:eastAsia="Times New Roman" w:hAnsiTheme="majorHAnsi" w:cstheme="majorHAnsi"/>
          <w:i/>
          <w:iCs/>
        </w:rPr>
        <w:t>US Environmental Protection Agency</w:t>
      </w:r>
      <w:r w:rsidRPr="00B84FEC">
        <w:rPr>
          <w:rFonts w:asciiTheme="majorHAnsi" w:eastAsia="Times New Roman" w:hAnsiTheme="majorHAnsi" w:cstheme="majorHAnsi"/>
        </w:rPr>
        <w:t>, 2 June 2016, www.epa.gov/so2-pollution/sulfur-dioxide-basics#what%20is%20so2.</w:t>
      </w:r>
    </w:p>
    <w:p w14:paraId="700F1FE6"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US Environmental Protection Agency. “What Are Volatile Organic Compounds (VOCs)? | US EPA.” </w:t>
      </w:r>
      <w:r w:rsidRPr="00B84FEC">
        <w:rPr>
          <w:rFonts w:asciiTheme="majorHAnsi" w:eastAsia="Times New Roman" w:hAnsiTheme="majorHAnsi" w:cstheme="majorHAnsi"/>
          <w:i/>
          <w:iCs/>
        </w:rPr>
        <w:t>US EPA</w:t>
      </w:r>
      <w:r w:rsidRPr="00B84FEC">
        <w:rPr>
          <w:rFonts w:asciiTheme="majorHAnsi" w:eastAsia="Times New Roman" w:hAnsiTheme="majorHAnsi" w:cstheme="majorHAnsi"/>
        </w:rPr>
        <w:t>, 19 Feb. 2019, www.epa.gov/indoor-air-quality-iaq/what-are-volatile-organic-compounds-vocs.</w:t>
      </w:r>
    </w:p>
    <w:p w14:paraId="0F47A34F" w14:textId="77777777" w:rsidR="001C3B8A" w:rsidRPr="00B84FEC"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US Geological Survey. “Lithium.” </w:t>
      </w:r>
      <w:r w:rsidRPr="00B84FEC">
        <w:rPr>
          <w:rFonts w:asciiTheme="majorHAnsi" w:eastAsia="Times New Roman" w:hAnsiTheme="majorHAnsi" w:cstheme="majorHAnsi"/>
          <w:i/>
          <w:iCs/>
        </w:rPr>
        <w:t>USGS</w:t>
      </w:r>
      <w:r w:rsidRPr="00B84FEC">
        <w:rPr>
          <w:rFonts w:asciiTheme="majorHAnsi" w:eastAsia="Times New Roman" w:hAnsiTheme="majorHAnsi" w:cstheme="majorHAnsi"/>
        </w:rPr>
        <w:t xml:space="preserve">, US Geological </w:t>
      </w:r>
      <w:proofErr w:type="gramStart"/>
      <w:r w:rsidRPr="00B84FEC">
        <w:rPr>
          <w:rFonts w:asciiTheme="majorHAnsi" w:eastAsia="Times New Roman" w:hAnsiTheme="majorHAnsi" w:cstheme="majorHAnsi"/>
        </w:rPr>
        <w:t>Survey ,</w:t>
      </w:r>
      <w:proofErr w:type="gramEnd"/>
      <w:r w:rsidRPr="00B84FEC">
        <w:rPr>
          <w:rFonts w:asciiTheme="majorHAnsi" w:eastAsia="Times New Roman" w:hAnsiTheme="majorHAnsi" w:cstheme="majorHAnsi"/>
        </w:rPr>
        <w:t xml:space="preserve"> Jan. 2023, pubs.usgs.gov/periodicals/mcs2023/mcs2023-lithium.pdf.</w:t>
      </w:r>
    </w:p>
    <w:p w14:paraId="4A50BEC7" w14:textId="77777777" w:rsidR="001C3B8A" w:rsidRDefault="001C3B8A" w:rsidP="001C3B8A">
      <w:pPr>
        <w:spacing w:after="0" w:line="480" w:lineRule="auto"/>
        <w:ind w:left="720" w:hanging="720"/>
        <w:rPr>
          <w:rFonts w:asciiTheme="majorHAnsi" w:eastAsia="Times New Roman" w:hAnsiTheme="majorHAnsi" w:cstheme="majorHAnsi"/>
        </w:rPr>
      </w:pPr>
      <w:r w:rsidRPr="00B84FEC">
        <w:rPr>
          <w:rFonts w:asciiTheme="majorHAnsi" w:eastAsia="Times New Roman" w:hAnsiTheme="majorHAnsi" w:cstheme="majorHAnsi"/>
        </w:rPr>
        <w:t xml:space="preserve">Vera, María L., et al. “Environmental Impact of Direct Lithium Extraction from Brines.” </w:t>
      </w:r>
      <w:r w:rsidRPr="00B84FEC">
        <w:rPr>
          <w:rFonts w:asciiTheme="majorHAnsi" w:eastAsia="Times New Roman" w:hAnsiTheme="majorHAnsi" w:cstheme="majorHAnsi"/>
          <w:i/>
          <w:iCs/>
        </w:rPr>
        <w:t>Nature Reviews Earth &amp; Environment</w:t>
      </w:r>
      <w:r w:rsidRPr="00B84FEC">
        <w:rPr>
          <w:rFonts w:asciiTheme="majorHAnsi" w:eastAsia="Times New Roman" w:hAnsiTheme="majorHAnsi" w:cstheme="majorHAnsi"/>
        </w:rPr>
        <w:t xml:space="preserve">, vol. 4, 23 Feb. 2023, pp. 149–165, www.nature.com/articles/s43017-022-00387-5, </w:t>
      </w:r>
      <w:hyperlink r:id="rId45" w:history="1">
        <w:r w:rsidRPr="0045465A">
          <w:rPr>
            <w:rStyle w:val="Hyperlink"/>
            <w:rFonts w:eastAsia="Times New Roman" w:cstheme="majorHAnsi"/>
          </w:rPr>
          <w:t>https://doi.org/10.1038/s43017-022-00387-5</w:t>
        </w:r>
      </w:hyperlink>
      <w:r w:rsidRPr="00B84FEC">
        <w:rPr>
          <w:rFonts w:asciiTheme="majorHAnsi" w:eastAsia="Times New Roman" w:hAnsiTheme="majorHAnsi" w:cstheme="majorHAnsi"/>
        </w:rPr>
        <w:t>.</w:t>
      </w:r>
    </w:p>
    <w:p w14:paraId="16B3B129" w14:textId="77777777" w:rsidR="001C3B8A" w:rsidRPr="00C25375" w:rsidRDefault="001C3B8A" w:rsidP="001C3B8A">
      <w:pPr>
        <w:pStyle w:val="Bibliography"/>
        <w:spacing w:line="480" w:lineRule="auto"/>
        <w:ind w:left="720" w:hanging="720"/>
        <w:rPr>
          <w:rFonts w:asciiTheme="majorHAnsi" w:hAnsiTheme="majorHAnsi" w:cstheme="majorHAnsi"/>
          <w:noProof/>
          <w:szCs w:val="24"/>
        </w:rPr>
      </w:pPr>
      <w:r w:rsidRPr="00C0689F">
        <w:rPr>
          <w:rFonts w:asciiTheme="majorHAnsi" w:hAnsiTheme="majorHAnsi" w:cstheme="majorHAnsi"/>
          <w:noProof/>
          <w:szCs w:val="24"/>
        </w:rPr>
        <w:t xml:space="preserve">Water Resources Mission Area. (2019, September 13). </w:t>
      </w:r>
      <w:r w:rsidRPr="00C0689F">
        <w:rPr>
          <w:rFonts w:asciiTheme="majorHAnsi" w:hAnsiTheme="majorHAnsi" w:cstheme="majorHAnsi"/>
          <w:i/>
          <w:iCs/>
          <w:noProof/>
          <w:szCs w:val="24"/>
        </w:rPr>
        <w:t>Hydraulic Fracturing</w:t>
      </w:r>
      <w:r w:rsidRPr="00C0689F">
        <w:rPr>
          <w:rFonts w:asciiTheme="majorHAnsi" w:hAnsiTheme="majorHAnsi" w:cstheme="majorHAnsi"/>
          <w:noProof/>
          <w:szCs w:val="24"/>
        </w:rPr>
        <w:t>. Retrieved from United States Geological Survey: https://www.usgs.gov/mission-areas/water-resources/science/hydraulic-fracturing#overview</w:t>
      </w:r>
      <w:r>
        <w:rPr>
          <w:rFonts w:asciiTheme="majorHAnsi" w:eastAsia="Times New Roman" w:hAnsiTheme="majorHAnsi" w:cstheme="majorHAnsi"/>
        </w:rPr>
        <w:br w:type="page"/>
      </w:r>
    </w:p>
    <w:p w14:paraId="06A035B5" w14:textId="77777777" w:rsidR="001C3B8A" w:rsidRDefault="001C3B8A" w:rsidP="001C3B8A">
      <w:pPr>
        <w:pStyle w:val="Heading1"/>
      </w:pPr>
      <w:bookmarkStart w:id="54" w:name="_Ref133821025"/>
      <w:bookmarkStart w:id="55" w:name="_Toc134183735"/>
      <w:bookmarkEnd w:id="50"/>
      <w:r>
        <w:t>Appendix A</w:t>
      </w:r>
      <w:bookmarkEnd w:id="54"/>
      <w:bookmarkEnd w:id="55"/>
    </w:p>
    <w:p w14:paraId="4B3922FD" w14:textId="77777777" w:rsidR="001C3B8A" w:rsidRPr="00025088" w:rsidRDefault="001C3B8A" w:rsidP="001C3B8A">
      <w:pPr>
        <w:pStyle w:val="Caption"/>
        <w:rPr>
          <w:rStyle w:val="Emphasis"/>
          <w:rFonts w:asciiTheme="majorHAnsi" w:eastAsiaTheme="majorEastAsia" w:hAnsiTheme="majorHAnsi" w:cstheme="majorBidi"/>
          <w:b w:val="0"/>
          <w:color w:val="2C3C77"/>
          <w:sz w:val="32"/>
          <w:szCs w:val="32"/>
        </w:rPr>
      </w:pPr>
      <w:r w:rsidRPr="00025088">
        <w:rPr>
          <w:rStyle w:val="Emphasis"/>
          <w:b w:val="0"/>
          <w:i/>
        </w:rPr>
        <w:t>Table A-1: Virginia’s Electric Grid Composition Model Used for ALFEET Calculations</w:t>
      </w:r>
    </w:p>
    <w:tbl>
      <w:tblPr>
        <w:tblStyle w:val="TableGrid"/>
        <w:tblW w:w="0" w:type="auto"/>
        <w:jc w:val="center"/>
        <w:tblInd w:w="0" w:type="dxa"/>
        <w:tblLook w:val="04A0" w:firstRow="1" w:lastRow="0" w:firstColumn="1" w:lastColumn="0" w:noHBand="0" w:noVBand="1"/>
      </w:tblPr>
      <w:tblGrid>
        <w:gridCol w:w="1541"/>
        <w:gridCol w:w="1541"/>
        <w:gridCol w:w="1541"/>
        <w:gridCol w:w="1541"/>
        <w:gridCol w:w="1542"/>
        <w:gridCol w:w="1542"/>
        <w:gridCol w:w="1542"/>
      </w:tblGrid>
      <w:tr w:rsidR="001C3B8A" w14:paraId="53021BB3" w14:textId="77777777" w:rsidTr="00D659F1">
        <w:trPr>
          <w:jc w:val="center"/>
        </w:trPr>
        <w:tc>
          <w:tcPr>
            <w:tcW w:w="1541" w:type="dxa"/>
            <w:shd w:val="clear" w:color="auto" w:fill="2C3C77" w:themeFill="accent1"/>
            <w:vAlign w:val="center"/>
          </w:tcPr>
          <w:p w14:paraId="6A0033A0" w14:textId="77777777" w:rsidR="001C3B8A" w:rsidRPr="0008511F" w:rsidRDefault="001C3B8A" w:rsidP="00D659F1">
            <w:pPr>
              <w:rPr>
                <w:b/>
                <w:bCs/>
                <w:color w:val="FFFFFF" w:themeColor="background1"/>
              </w:rPr>
            </w:pPr>
          </w:p>
        </w:tc>
        <w:tc>
          <w:tcPr>
            <w:tcW w:w="1541" w:type="dxa"/>
            <w:shd w:val="clear" w:color="auto" w:fill="2C3C77" w:themeFill="accent1"/>
            <w:vAlign w:val="center"/>
          </w:tcPr>
          <w:p w14:paraId="24C97AA9" w14:textId="77777777" w:rsidR="001C3B8A" w:rsidRPr="0008511F" w:rsidRDefault="001C3B8A" w:rsidP="00D659F1">
            <w:pPr>
              <w:jc w:val="center"/>
              <w:rPr>
                <w:b/>
                <w:bCs/>
                <w:color w:val="FFFFFF" w:themeColor="background1"/>
              </w:rPr>
            </w:pPr>
            <w:r w:rsidRPr="0008511F">
              <w:rPr>
                <w:b/>
                <w:bCs/>
                <w:color w:val="FFFFFF" w:themeColor="background1"/>
              </w:rPr>
              <w:t>Oil</w:t>
            </w:r>
          </w:p>
        </w:tc>
        <w:tc>
          <w:tcPr>
            <w:tcW w:w="1541" w:type="dxa"/>
            <w:shd w:val="clear" w:color="auto" w:fill="2C3C77" w:themeFill="accent1"/>
            <w:vAlign w:val="center"/>
          </w:tcPr>
          <w:p w14:paraId="607370B2" w14:textId="77777777" w:rsidR="001C3B8A" w:rsidRPr="0008511F" w:rsidRDefault="001C3B8A" w:rsidP="00D659F1">
            <w:pPr>
              <w:jc w:val="center"/>
              <w:rPr>
                <w:b/>
                <w:bCs/>
                <w:color w:val="FFFFFF" w:themeColor="background1"/>
              </w:rPr>
            </w:pPr>
            <w:r w:rsidRPr="0008511F">
              <w:rPr>
                <w:b/>
                <w:bCs/>
                <w:color w:val="FFFFFF" w:themeColor="background1"/>
              </w:rPr>
              <w:t>Natural Gas</w:t>
            </w:r>
          </w:p>
        </w:tc>
        <w:tc>
          <w:tcPr>
            <w:tcW w:w="1541" w:type="dxa"/>
            <w:shd w:val="clear" w:color="auto" w:fill="2C3C77" w:themeFill="accent1"/>
            <w:vAlign w:val="center"/>
          </w:tcPr>
          <w:p w14:paraId="47B74B8F" w14:textId="77777777" w:rsidR="001C3B8A" w:rsidRPr="0008511F" w:rsidRDefault="001C3B8A" w:rsidP="00D659F1">
            <w:pPr>
              <w:jc w:val="center"/>
              <w:rPr>
                <w:b/>
                <w:bCs/>
                <w:color w:val="FFFFFF" w:themeColor="background1"/>
              </w:rPr>
            </w:pPr>
            <w:r w:rsidRPr="0008511F">
              <w:rPr>
                <w:b/>
                <w:bCs/>
                <w:color w:val="FFFFFF" w:themeColor="background1"/>
              </w:rPr>
              <w:t>Coal</w:t>
            </w:r>
          </w:p>
        </w:tc>
        <w:tc>
          <w:tcPr>
            <w:tcW w:w="1542" w:type="dxa"/>
            <w:shd w:val="clear" w:color="auto" w:fill="2C3C77" w:themeFill="accent1"/>
            <w:vAlign w:val="center"/>
          </w:tcPr>
          <w:p w14:paraId="5DDA8031" w14:textId="77777777" w:rsidR="001C3B8A" w:rsidRPr="0008511F" w:rsidRDefault="001C3B8A" w:rsidP="00D659F1">
            <w:pPr>
              <w:jc w:val="center"/>
              <w:rPr>
                <w:b/>
                <w:bCs/>
                <w:color w:val="FFFFFF" w:themeColor="background1"/>
              </w:rPr>
            </w:pPr>
            <w:r w:rsidRPr="0008511F">
              <w:rPr>
                <w:b/>
                <w:bCs/>
                <w:color w:val="FFFFFF" w:themeColor="background1"/>
              </w:rPr>
              <w:t>Nuclear</w:t>
            </w:r>
          </w:p>
        </w:tc>
        <w:tc>
          <w:tcPr>
            <w:tcW w:w="1542" w:type="dxa"/>
            <w:shd w:val="clear" w:color="auto" w:fill="2C3C77" w:themeFill="accent1"/>
            <w:vAlign w:val="center"/>
          </w:tcPr>
          <w:p w14:paraId="2274D070" w14:textId="77777777" w:rsidR="001C3B8A" w:rsidRPr="0008511F" w:rsidRDefault="001C3B8A" w:rsidP="00D659F1">
            <w:pPr>
              <w:jc w:val="center"/>
              <w:rPr>
                <w:b/>
                <w:bCs/>
                <w:color w:val="FFFFFF" w:themeColor="background1"/>
              </w:rPr>
            </w:pPr>
            <w:r w:rsidRPr="0008511F">
              <w:rPr>
                <w:b/>
                <w:bCs/>
                <w:color w:val="FFFFFF" w:themeColor="background1"/>
              </w:rPr>
              <w:t>Biomass</w:t>
            </w:r>
          </w:p>
        </w:tc>
        <w:tc>
          <w:tcPr>
            <w:tcW w:w="1542" w:type="dxa"/>
            <w:shd w:val="clear" w:color="auto" w:fill="2C3C77" w:themeFill="accent1"/>
            <w:vAlign w:val="center"/>
          </w:tcPr>
          <w:p w14:paraId="766D1D18" w14:textId="77777777" w:rsidR="001C3B8A" w:rsidRPr="0008511F" w:rsidRDefault="001C3B8A" w:rsidP="00D659F1">
            <w:pPr>
              <w:jc w:val="center"/>
              <w:rPr>
                <w:b/>
                <w:bCs/>
                <w:color w:val="FFFFFF" w:themeColor="background1"/>
              </w:rPr>
            </w:pPr>
            <w:r w:rsidRPr="0008511F">
              <w:rPr>
                <w:b/>
                <w:bCs/>
                <w:color w:val="FFFFFF" w:themeColor="background1"/>
              </w:rPr>
              <w:t xml:space="preserve">Others (Wind, Solar, Hydro, </w:t>
            </w:r>
            <w:proofErr w:type="spellStart"/>
            <w:r w:rsidRPr="0008511F">
              <w:rPr>
                <w:b/>
                <w:bCs/>
                <w:color w:val="FFFFFF" w:themeColor="background1"/>
              </w:rPr>
              <w:t>etc</w:t>
            </w:r>
            <w:proofErr w:type="spellEnd"/>
            <w:r w:rsidRPr="0008511F">
              <w:rPr>
                <w:b/>
                <w:bCs/>
                <w:color w:val="FFFFFF" w:themeColor="background1"/>
              </w:rPr>
              <w:t>)</w:t>
            </w:r>
          </w:p>
        </w:tc>
      </w:tr>
      <w:tr w:rsidR="001C3B8A" w14:paraId="56352284" w14:textId="77777777" w:rsidTr="00D659F1">
        <w:trPr>
          <w:jc w:val="center"/>
        </w:trPr>
        <w:tc>
          <w:tcPr>
            <w:tcW w:w="1541" w:type="dxa"/>
          </w:tcPr>
          <w:p w14:paraId="12ED9725" w14:textId="77777777" w:rsidR="001C3B8A" w:rsidRDefault="001C3B8A" w:rsidP="00D659F1">
            <w:pPr>
              <w:jc w:val="center"/>
            </w:pPr>
            <w:bookmarkStart w:id="56" w:name="_Hlk133397258"/>
            <w:bookmarkStart w:id="57" w:name="_Hlk133397264"/>
            <w:r>
              <w:t>Base</w:t>
            </w:r>
          </w:p>
        </w:tc>
        <w:tc>
          <w:tcPr>
            <w:tcW w:w="1541" w:type="dxa"/>
          </w:tcPr>
          <w:p w14:paraId="3FCC163F" w14:textId="77777777" w:rsidR="001C3B8A" w:rsidRDefault="001C3B8A" w:rsidP="00D659F1">
            <w:pPr>
              <w:jc w:val="center"/>
            </w:pPr>
            <w:r>
              <w:t>0.2%</w:t>
            </w:r>
          </w:p>
        </w:tc>
        <w:tc>
          <w:tcPr>
            <w:tcW w:w="1541" w:type="dxa"/>
          </w:tcPr>
          <w:p w14:paraId="137E4462" w14:textId="77777777" w:rsidR="001C3B8A" w:rsidRDefault="001C3B8A" w:rsidP="00D659F1">
            <w:pPr>
              <w:jc w:val="center"/>
            </w:pPr>
            <w:r>
              <w:t>58.7%</w:t>
            </w:r>
          </w:p>
        </w:tc>
        <w:tc>
          <w:tcPr>
            <w:tcW w:w="1541" w:type="dxa"/>
          </w:tcPr>
          <w:p w14:paraId="6E1220BE" w14:textId="77777777" w:rsidR="001C3B8A" w:rsidRDefault="001C3B8A" w:rsidP="00D659F1">
            <w:pPr>
              <w:jc w:val="center"/>
            </w:pPr>
            <w:r>
              <w:t>2.2%</w:t>
            </w:r>
          </w:p>
        </w:tc>
        <w:tc>
          <w:tcPr>
            <w:tcW w:w="1542" w:type="dxa"/>
          </w:tcPr>
          <w:p w14:paraId="487EFB41"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4A79CB8C" w14:textId="77777777" w:rsidR="001C3B8A" w:rsidRDefault="001C3B8A" w:rsidP="00D659F1">
            <w:pPr>
              <w:jc w:val="center"/>
            </w:pPr>
            <w:r>
              <w:t>0.4%</w:t>
            </w:r>
          </w:p>
        </w:tc>
        <w:tc>
          <w:tcPr>
            <w:tcW w:w="1542" w:type="dxa"/>
          </w:tcPr>
          <w:p w14:paraId="3D829905" w14:textId="77777777" w:rsidR="001C3B8A" w:rsidRDefault="001C3B8A" w:rsidP="00D659F1">
            <w:pPr>
              <w:jc w:val="center"/>
            </w:pPr>
            <w:r>
              <w:t>8.6%</w:t>
            </w:r>
          </w:p>
        </w:tc>
      </w:tr>
      <w:tr w:rsidR="001C3B8A" w14:paraId="2A7970D5" w14:textId="77777777" w:rsidTr="00D659F1">
        <w:trPr>
          <w:jc w:val="center"/>
        </w:trPr>
        <w:tc>
          <w:tcPr>
            <w:tcW w:w="1541" w:type="dxa"/>
          </w:tcPr>
          <w:p w14:paraId="4F7A09A7" w14:textId="77777777" w:rsidR="001C3B8A" w:rsidRDefault="001C3B8A" w:rsidP="00D659F1">
            <w:pPr>
              <w:jc w:val="center"/>
            </w:pPr>
            <w:r>
              <w:t>2022</w:t>
            </w:r>
          </w:p>
        </w:tc>
        <w:tc>
          <w:tcPr>
            <w:tcW w:w="1541" w:type="dxa"/>
          </w:tcPr>
          <w:p w14:paraId="17D1347F" w14:textId="77777777" w:rsidR="001C3B8A" w:rsidRDefault="001C3B8A" w:rsidP="00D659F1">
            <w:pPr>
              <w:jc w:val="center"/>
            </w:pPr>
            <w:r>
              <w:t>0.2%</w:t>
            </w:r>
          </w:p>
        </w:tc>
        <w:tc>
          <w:tcPr>
            <w:tcW w:w="1541" w:type="dxa"/>
          </w:tcPr>
          <w:p w14:paraId="4FD7A408" w14:textId="77777777" w:rsidR="001C3B8A" w:rsidRDefault="001C3B8A" w:rsidP="00D659F1">
            <w:pPr>
              <w:jc w:val="center"/>
            </w:pPr>
            <w:r>
              <w:t>58.7%</w:t>
            </w:r>
          </w:p>
        </w:tc>
        <w:tc>
          <w:tcPr>
            <w:tcW w:w="1541" w:type="dxa"/>
          </w:tcPr>
          <w:p w14:paraId="1EBCB414" w14:textId="77777777" w:rsidR="001C3B8A" w:rsidRDefault="001C3B8A" w:rsidP="00D659F1">
            <w:pPr>
              <w:jc w:val="center"/>
            </w:pPr>
            <w:r>
              <w:t>2.2%</w:t>
            </w:r>
          </w:p>
        </w:tc>
        <w:tc>
          <w:tcPr>
            <w:tcW w:w="1542" w:type="dxa"/>
          </w:tcPr>
          <w:p w14:paraId="48552FB1"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07137DA2" w14:textId="77777777" w:rsidR="001C3B8A" w:rsidRDefault="001C3B8A" w:rsidP="00D659F1">
            <w:pPr>
              <w:jc w:val="center"/>
            </w:pPr>
            <w:r>
              <w:t>0.4%</w:t>
            </w:r>
          </w:p>
        </w:tc>
        <w:tc>
          <w:tcPr>
            <w:tcW w:w="1542" w:type="dxa"/>
          </w:tcPr>
          <w:p w14:paraId="11C76BA6" w14:textId="77777777" w:rsidR="001C3B8A" w:rsidRDefault="001C3B8A" w:rsidP="00D659F1">
            <w:pPr>
              <w:jc w:val="center"/>
            </w:pPr>
            <w:r>
              <w:t>8.6%</w:t>
            </w:r>
          </w:p>
        </w:tc>
      </w:tr>
      <w:tr w:rsidR="001C3B8A" w14:paraId="435D5D77" w14:textId="77777777" w:rsidTr="00D659F1">
        <w:trPr>
          <w:jc w:val="center"/>
        </w:trPr>
        <w:tc>
          <w:tcPr>
            <w:tcW w:w="1541" w:type="dxa"/>
          </w:tcPr>
          <w:p w14:paraId="0FEA77B2" w14:textId="77777777" w:rsidR="001C3B8A" w:rsidRDefault="001C3B8A" w:rsidP="00D659F1">
            <w:pPr>
              <w:jc w:val="center"/>
            </w:pPr>
            <w:bookmarkStart w:id="58" w:name="_Hlk132894134"/>
            <w:bookmarkStart w:id="59" w:name="_Hlk133397113"/>
            <w:bookmarkStart w:id="60" w:name="_Hlk133397213"/>
            <w:r>
              <w:t>2023</w:t>
            </w:r>
          </w:p>
        </w:tc>
        <w:tc>
          <w:tcPr>
            <w:tcW w:w="1541" w:type="dxa"/>
          </w:tcPr>
          <w:p w14:paraId="30FE92C0" w14:textId="77777777" w:rsidR="001C3B8A" w:rsidRDefault="001C3B8A" w:rsidP="00D659F1">
            <w:pPr>
              <w:jc w:val="center"/>
            </w:pPr>
            <w:r>
              <w:t>0.0%</w:t>
            </w:r>
          </w:p>
        </w:tc>
        <w:tc>
          <w:tcPr>
            <w:tcW w:w="1541" w:type="dxa"/>
          </w:tcPr>
          <w:p w14:paraId="3150943C" w14:textId="77777777" w:rsidR="001C3B8A" w:rsidRDefault="001C3B8A" w:rsidP="00D659F1">
            <w:pPr>
              <w:jc w:val="center"/>
            </w:pPr>
            <w:r>
              <w:t>57.7%</w:t>
            </w:r>
          </w:p>
        </w:tc>
        <w:tc>
          <w:tcPr>
            <w:tcW w:w="1541" w:type="dxa"/>
          </w:tcPr>
          <w:p w14:paraId="7B539C62" w14:textId="77777777" w:rsidR="001C3B8A" w:rsidRDefault="001C3B8A" w:rsidP="00D659F1">
            <w:pPr>
              <w:jc w:val="center"/>
            </w:pPr>
            <w:r>
              <w:t>1.2%</w:t>
            </w:r>
          </w:p>
        </w:tc>
        <w:tc>
          <w:tcPr>
            <w:tcW w:w="1542" w:type="dxa"/>
            <w:tcBorders>
              <w:top w:val="single" w:sz="4" w:space="0" w:color="auto"/>
              <w:left w:val="single" w:sz="4" w:space="0" w:color="auto"/>
              <w:bottom w:val="single" w:sz="4" w:space="0" w:color="auto"/>
              <w:right w:val="single" w:sz="4" w:space="0" w:color="auto"/>
            </w:tcBorders>
          </w:tcPr>
          <w:p w14:paraId="51A34C98"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00BE39C4" w14:textId="77777777" w:rsidR="001C3B8A" w:rsidRDefault="001C3B8A" w:rsidP="00D659F1">
            <w:pPr>
              <w:jc w:val="center"/>
            </w:pPr>
            <w:r>
              <w:t>0.0%</w:t>
            </w:r>
          </w:p>
        </w:tc>
        <w:tc>
          <w:tcPr>
            <w:tcW w:w="1542" w:type="dxa"/>
          </w:tcPr>
          <w:p w14:paraId="1CBABFD0" w14:textId="77777777" w:rsidR="001C3B8A" w:rsidRDefault="001C3B8A" w:rsidP="00D659F1">
            <w:pPr>
              <w:jc w:val="center"/>
            </w:pPr>
            <w:r>
              <w:t>11.3%</w:t>
            </w:r>
          </w:p>
        </w:tc>
      </w:tr>
      <w:tr w:rsidR="001C3B8A" w14:paraId="10DC9C27" w14:textId="77777777" w:rsidTr="00D659F1">
        <w:trPr>
          <w:jc w:val="center"/>
        </w:trPr>
        <w:tc>
          <w:tcPr>
            <w:tcW w:w="1541" w:type="dxa"/>
          </w:tcPr>
          <w:p w14:paraId="6FD76778" w14:textId="77777777" w:rsidR="001C3B8A" w:rsidRDefault="001C3B8A" w:rsidP="00D659F1">
            <w:pPr>
              <w:jc w:val="center"/>
            </w:pPr>
            <w:bookmarkStart w:id="61" w:name="_Hlk133397186"/>
            <w:bookmarkEnd w:id="58"/>
            <w:bookmarkEnd w:id="59"/>
            <w:r>
              <w:t>2024</w:t>
            </w:r>
          </w:p>
        </w:tc>
        <w:tc>
          <w:tcPr>
            <w:tcW w:w="1541" w:type="dxa"/>
          </w:tcPr>
          <w:p w14:paraId="35A968D2" w14:textId="77777777" w:rsidR="001C3B8A" w:rsidRDefault="001C3B8A" w:rsidP="00D659F1">
            <w:pPr>
              <w:jc w:val="center"/>
            </w:pPr>
            <w:r>
              <w:t>0.0%</w:t>
            </w:r>
          </w:p>
        </w:tc>
        <w:tc>
          <w:tcPr>
            <w:tcW w:w="1541" w:type="dxa"/>
          </w:tcPr>
          <w:p w14:paraId="3F270E71" w14:textId="77777777" w:rsidR="001C3B8A" w:rsidRDefault="001C3B8A" w:rsidP="00D659F1">
            <w:pPr>
              <w:jc w:val="center"/>
            </w:pPr>
            <w:r>
              <w:t>56.2%</w:t>
            </w:r>
          </w:p>
        </w:tc>
        <w:tc>
          <w:tcPr>
            <w:tcW w:w="1541" w:type="dxa"/>
            <w:tcBorders>
              <w:top w:val="single" w:sz="4" w:space="0" w:color="auto"/>
              <w:left w:val="single" w:sz="4" w:space="0" w:color="auto"/>
              <w:bottom w:val="single" w:sz="4" w:space="0" w:color="auto"/>
              <w:right w:val="single" w:sz="4" w:space="0" w:color="auto"/>
            </w:tcBorders>
          </w:tcPr>
          <w:p w14:paraId="5861C9D5"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3A88E6D7"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310CA69D" w14:textId="77777777" w:rsidR="001C3B8A" w:rsidRDefault="001C3B8A" w:rsidP="00D659F1">
            <w:pPr>
              <w:jc w:val="center"/>
            </w:pPr>
            <w:r>
              <w:t>0.0%</w:t>
            </w:r>
          </w:p>
        </w:tc>
        <w:tc>
          <w:tcPr>
            <w:tcW w:w="1542" w:type="dxa"/>
          </w:tcPr>
          <w:p w14:paraId="4D60AD13" w14:textId="77777777" w:rsidR="001C3B8A" w:rsidRDefault="001C3B8A" w:rsidP="00D659F1">
            <w:pPr>
              <w:jc w:val="center"/>
            </w:pPr>
            <w:r>
              <w:t>14.0%</w:t>
            </w:r>
          </w:p>
        </w:tc>
      </w:tr>
      <w:tr w:rsidR="001C3B8A" w14:paraId="7B73F687" w14:textId="77777777" w:rsidTr="00D659F1">
        <w:trPr>
          <w:jc w:val="center"/>
        </w:trPr>
        <w:tc>
          <w:tcPr>
            <w:tcW w:w="1541" w:type="dxa"/>
          </w:tcPr>
          <w:p w14:paraId="7A5F4D5F" w14:textId="77777777" w:rsidR="001C3B8A" w:rsidRDefault="001C3B8A" w:rsidP="00D659F1">
            <w:pPr>
              <w:jc w:val="center"/>
            </w:pPr>
            <w:r>
              <w:t>2025</w:t>
            </w:r>
          </w:p>
        </w:tc>
        <w:tc>
          <w:tcPr>
            <w:tcW w:w="1541" w:type="dxa"/>
          </w:tcPr>
          <w:p w14:paraId="3528211C" w14:textId="77777777" w:rsidR="001C3B8A" w:rsidRDefault="001C3B8A" w:rsidP="00D659F1">
            <w:pPr>
              <w:jc w:val="center"/>
            </w:pPr>
            <w:r>
              <w:t>0.0%</w:t>
            </w:r>
          </w:p>
        </w:tc>
        <w:tc>
          <w:tcPr>
            <w:tcW w:w="1541" w:type="dxa"/>
          </w:tcPr>
          <w:p w14:paraId="5F8B02B7" w14:textId="77777777" w:rsidR="001C3B8A" w:rsidRDefault="001C3B8A" w:rsidP="00D659F1">
            <w:pPr>
              <w:jc w:val="center"/>
            </w:pPr>
            <w:r>
              <w:t>53.5%</w:t>
            </w:r>
          </w:p>
        </w:tc>
        <w:tc>
          <w:tcPr>
            <w:tcW w:w="1541" w:type="dxa"/>
            <w:tcBorders>
              <w:top w:val="single" w:sz="4" w:space="0" w:color="auto"/>
              <w:left w:val="single" w:sz="4" w:space="0" w:color="auto"/>
              <w:bottom w:val="single" w:sz="4" w:space="0" w:color="auto"/>
              <w:right w:val="single" w:sz="4" w:space="0" w:color="auto"/>
            </w:tcBorders>
          </w:tcPr>
          <w:p w14:paraId="72F4149F"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18C8186B"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4F5D6FB3" w14:textId="77777777" w:rsidR="001C3B8A" w:rsidRDefault="001C3B8A" w:rsidP="00D659F1">
            <w:pPr>
              <w:jc w:val="center"/>
            </w:pPr>
            <w:r>
              <w:t>0.0%</w:t>
            </w:r>
          </w:p>
        </w:tc>
        <w:tc>
          <w:tcPr>
            <w:tcW w:w="1542" w:type="dxa"/>
          </w:tcPr>
          <w:p w14:paraId="4E931406" w14:textId="77777777" w:rsidR="001C3B8A" w:rsidRDefault="001C3B8A" w:rsidP="00D659F1">
            <w:pPr>
              <w:jc w:val="center"/>
            </w:pPr>
            <w:r>
              <w:t>16.6%</w:t>
            </w:r>
          </w:p>
        </w:tc>
      </w:tr>
      <w:tr w:rsidR="001C3B8A" w14:paraId="583EFEF3" w14:textId="77777777" w:rsidTr="00D659F1">
        <w:trPr>
          <w:jc w:val="center"/>
        </w:trPr>
        <w:tc>
          <w:tcPr>
            <w:tcW w:w="1541" w:type="dxa"/>
          </w:tcPr>
          <w:p w14:paraId="2AC59CC5" w14:textId="77777777" w:rsidR="001C3B8A" w:rsidRDefault="001C3B8A" w:rsidP="00D659F1">
            <w:pPr>
              <w:jc w:val="center"/>
            </w:pPr>
            <w:r>
              <w:t>2026</w:t>
            </w:r>
          </w:p>
        </w:tc>
        <w:tc>
          <w:tcPr>
            <w:tcW w:w="1541" w:type="dxa"/>
          </w:tcPr>
          <w:p w14:paraId="7A1BF1A0" w14:textId="77777777" w:rsidR="001C3B8A" w:rsidRDefault="001C3B8A" w:rsidP="00D659F1">
            <w:pPr>
              <w:jc w:val="center"/>
            </w:pPr>
            <w:r>
              <w:t>0.0%</w:t>
            </w:r>
          </w:p>
        </w:tc>
        <w:tc>
          <w:tcPr>
            <w:tcW w:w="1541" w:type="dxa"/>
          </w:tcPr>
          <w:p w14:paraId="1D1192F2" w14:textId="77777777" w:rsidR="001C3B8A" w:rsidRDefault="001C3B8A" w:rsidP="00D659F1">
            <w:pPr>
              <w:jc w:val="center"/>
            </w:pPr>
            <w:r>
              <w:t>50.8%</w:t>
            </w:r>
          </w:p>
        </w:tc>
        <w:tc>
          <w:tcPr>
            <w:tcW w:w="1541" w:type="dxa"/>
            <w:tcBorders>
              <w:top w:val="single" w:sz="4" w:space="0" w:color="auto"/>
              <w:left w:val="single" w:sz="4" w:space="0" w:color="auto"/>
              <w:bottom w:val="single" w:sz="4" w:space="0" w:color="auto"/>
              <w:right w:val="single" w:sz="4" w:space="0" w:color="auto"/>
            </w:tcBorders>
          </w:tcPr>
          <w:p w14:paraId="463EFF4B"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79D4AE9E"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6F3BE373" w14:textId="77777777" w:rsidR="001C3B8A" w:rsidRDefault="001C3B8A" w:rsidP="00D659F1">
            <w:pPr>
              <w:jc w:val="center"/>
            </w:pPr>
            <w:r>
              <w:t>0.0%</w:t>
            </w:r>
          </w:p>
        </w:tc>
        <w:tc>
          <w:tcPr>
            <w:tcW w:w="1542" w:type="dxa"/>
          </w:tcPr>
          <w:p w14:paraId="67919CF3" w14:textId="77777777" w:rsidR="001C3B8A" w:rsidRDefault="001C3B8A" w:rsidP="00D659F1">
            <w:pPr>
              <w:jc w:val="center"/>
            </w:pPr>
            <w:r>
              <w:t>19.3%</w:t>
            </w:r>
          </w:p>
        </w:tc>
      </w:tr>
      <w:bookmarkEnd w:id="56"/>
      <w:tr w:rsidR="001C3B8A" w14:paraId="7E3A0F5E" w14:textId="77777777" w:rsidTr="00D659F1">
        <w:trPr>
          <w:jc w:val="center"/>
        </w:trPr>
        <w:tc>
          <w:tcPr>
            <w:tcW w:w="1541" w:type="dxa"/>
          </w:tcPr>
          <w:p w14:paraId="03C7A6F8" w14:textId="77777777" w:rsidR="001C3B8A" w:rsidRDefault="001C3B8A" w:rsidP="00D659F1">
            <w:pPr>
              <w:jc w:val="center"/>
            </w:pPr>
            <w:r>
              <w:t>2027</w:t>
            </w:r>
          </w:p>
        </w:tc>
        <w:tc>
          <w:tcPr>
            <w:tcW w:w="1541" w:type="dxa"/>
          </w:tcPr>
          <w:p w14:paraId="1D5D20C8" w14:textId="77777777" w:rsidR="001C3B8A" w:rsidRDefault="001C3B8A" w:rsidP="00D659F1">
            <w:pPr>
              <w:jc w:val="center"/>
            </w:pPr>
            <w:r>
              <w:t>0.0%</w:t>
            </w:r>
          </w:p>
        </w:tc>
        <w:tc>
          <w:tcPr>
            <w:tcW w:w="1541" w:type="dxa"/>
          </w:tcPr>
          <w:p w14:paraId="18BF6456" w14:textId="77777777" w:rsidR="001C3B8A" w:rsidRDefault="001C3B8A" w:rsidP="00D659F1">
            <w:pPr>
              <w:jc w:val="center"/>
            </w:pPr>
            <w:r>
              <w:t>48.1%</w:t>
            </w:r>
          </w:p>
        </w:tc>
        <w:tc>
          <w:tcPr>
            <w:tcW w:w="1541" w:type="dxa"/>
            <w:tcBorders>
              <w:top w:val="single" w:sz="4" w:space="0" w:color="auto"/>
              <w:left w:val="single" w:sz="4" w:space="0" w:color="auto"/>
              <w:bottom w:val="single" w:sz="4" w:space="0" w:color="auto"/>
              <w:right w:val="single" w:sz="4" w:space="0" w:color="auto"/>
            </w:tcBorders>
          </w:tcPr>
          <w:p w14:paraId="0178FC41"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19720842"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46B379C2" w14:textId="77777777" w:rsidR="001C3B8A" w:rsidRDefault="001C3B8A" w:rsidP="00D659F1">
            <w:pPr>
              <w:jc w:val="center"/>
            </w:pPr>
            <w:r>
              <w:t>0.0%</w:t>
            </w:r>
          </w:p>
        </w:tc>
        <w:tc>
          <w:tcPr>
            <w:tcW w:w="1542" w:type="dxa"/>
          </w:tcPr>
          <w:p w14:paraId="6E52EC24" w14:textId="77777777" w:rsidR="001C3B8A" w:rsidRDefault="001C3B8A" w:rsidP="00D659F1">
            <w:pPr>
              <w:jc w:val="center"/>
            </w:pPr>
            <w:r>
              <w:t>22.0%</w:t>
            </w:r>
          </w:p>
        </w:tc>
      </w:tr>
      <w:tr w:rsidR="001C3B8A" w14:paraId="665CF962" w14:textId="77777777" w:rsidTr="00D659F1">
        <w:trPr>
          <w:jc w:val="center"/>
        </w:trPr>
        <w:tc>
          <w:tcPr>
            <w:tcW w:w="1541" w:type="dxa"/>
          </w:tcPr>
          <w:p w14:paraId="146C97BD" w14:textId="77777777" w:rsidR="001C3B8A" w:rsidRDefault="001C3B8A" w:rsidP="00D659F1">
            <w:pPr>
              <w:jc w:val="center"/>
            </w:pPr>
            <w:r>
              <w:t>2028</w:t>
            </w:r>
          </w:p>
        </w:tc>
        <w:tc>
          <w:tcPr>
            <w:tcW w:w="1541" w:type="dxa"/>
          </w:tcPr>
          <w:p w14:paraId="2505FA9D" w14:textId="77777777" w:rsidR="001C3B8A" w:rsidRDefault="001C3B8A" w:rsidP="00D659F1">
            <w:pPr>
              <w:jc w:val="center"/>
            </w:pPr>
            <w:r>
              <w:t>0.0%</w:t>
            </w:r>
          </w:p>
        </w:tc>
        <w:tc>
          <w:tcPr>
            <w:tcW w:w="1541" w:type="dxa"/>
          </w:tcPr>
          <w:p w14:paraId="716C216A" w14:textId="77777777" w:rsidR="001C3B8A" w:rsidRDefault="001C3B8A" w:rsidP="00D659F1">
            <w:pPr>
              <w:jc w:val="center"/>
            </w:pPr>
            <w:r>
              <w:t>45.5%</w:t>
            </w:r>
          </w:p>
        </w:tc>
        <w:tc>
          <w:tcPr>
            <w:tcW w:w="1541" w:type="dxa"/>
            <w:tcBorders>
              <w:top w:val="single" w:sz="4" w:space="0" w:color="auto"/>
              <w:left w:val="single" w:sz="4" w:space="0" w:color="auto"/>
              <w:bottom w:val="single" w:sz="4" w:space="0" w:color="auto"/>
              <w:right w:val="single" w:sz="4" w:space="0" w:color="auto"/>
            </w:tcBorders>
          </w:tcPr>
          <w:p w14:paraId="5C4ACB2E"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3C617E4D"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03371A9B" w14:textId="77777777" w:rsidR="001C3B8A" w:rsidRDefault="001C3B8A" w:rsidP="00D659F1">
            <w:pPr>
              <w:jc w:val="center"/>
            </w:pPr>
            <w:r>
              <w:t>0.0%</w:t>
            </w:r>
          </w:p>
        </w:tc>
        <w:tc>
          <w:tcPr>
            <w:tcW w:w="1542" w:type="dxa"/>
          </w:tcPr>
          <w:p w14:paraId="74045C7C" w14:textId="77777777" w:rsidR="001C3B8A" w:rsidRDefault="001C3B8A" w:rsidP="00D659F1">
            <w:pPr>
              <w:jc w:val="center"/>
            </w:pPr>
            <w:r>
              <w:t>24.7%</w:t>
            </w:r>
          </w:p>
        </w:tc>
      </w:tr>
      <w:tr w:rsidR="001C3B8A" w14:paraId="47985938" w14:textId="77777777" w:rsidTr="00D659F1">
        <w:trPr>
          <w:jc w:val="center"/>
        </w:trPr>
        <w:tc>
          <w:tcPr>
            <w:tcW w:w="1541" w:type="dxa"/>
          </w:tcPr>
          <w:p w14:paraId="17D80A95" w14:textId="77777777" w:rsidR="001C3B8A" w:rsidRDefault="001C3B8A" w:rsidP="00D659F1">
            <w:pPr>
              <w:jc w:val="center"/>
            </w:pPr>
            <w:r>
              <w:t>2029</w:t>
            </w:r>
          </w:p>
        </w:tc>
        <w:tc>
          <w:tcPr>
            <w:tcW w:w="1541" w:type="dxa"/>
          </w:tcPr>
          <w:p w14:paraId="561AB1C5" w14:textId="77777777" w:rsidR="001C3B8A" w:rsidRDefault="001C3B8A" w:rsidP="00D659F1">
            <w:pPr>
              <w:jc w:val="center"/>
            </w:pPr>
            <w:r>
              <w:t>0.0%</w:t>
            </w:r>
          </w:p>
        </w:tc>
        <w:tc>
          <w:tcPr>
            <w:tcW w:w="1541" w:type="dxa"/>
          </w:tcPr>
          <w:p w14:paraId="5922C2E2" w14:textId="77777777" w:rsidR="001C3B8A" w:rsidRDefault="001C3B8A" w:rsidP="00D659F1">
            <w:pPr>
              <w:jc w:val="center"/>
            </w:pPr>
            <w:r>
              <w:t>42.8%</w:t>
            </w:r>
          </w:p>
        </w:tc>
        <w:tc>
          <w:tcPr>
            <w:tcW w:w="1541" w:type="dxa"/>
            <w:tcBorders>
              <w:top w:val="single" w:sz="4" w:space="0" w:color="auto"/>
              <w:left w:val="single" w:sz="4" w:space="0" w:color="auto"/>
              <w:bottom w:val="single" w:sz="4" w:space="0" w:color="auto"/>
              <w:right w:val="single" w:sz="4" w:space="0" w:color="auto"/>
            </w:tcBorders>
          </w:tcPr>
          <w:p w14:paraId="259B3CA8"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4F72C9BA"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01B1D677" w14:textId="77777777" w:rsidR="001C3B8A" w:rsidRDefault="001C3B8A" w:rsidP="00D659F1">
            <w:pPr>
              <w:jc w:val="center"/>
            </w:pPr>
            <w:r>
              <w:t>0.0%</w:t>
            </w:r>
          </w:p>
        </w:tc>
        <w:tc>
          <w:tcPr>
            <w:tcW w:w="1542" w:type="dxa"/>
          </w:tcPr>
          <w:p w14:paraId="1E7D4A4E" w14:textId="77777777" w:rsidR="001C3B8A" w:rsidRDefault="001C3B8A" w:rsidP="00D659F1">
            <w:pPr>
              <w:jc w:val="center"/>
            </w:pPr>
            <w:r>
              <w:t>27.3%</w:t>
            </w:r>
          </w:p>
        </w:tc>
      </w:tr>
      <w:tr w:rsidR="001C3B8A" w14:paraId="0ED1E924" w14:textId="77777777" w:rsidTr="00D659F1">
        <w:trPr>
          <w:jc w:val="center"/>
        </w:trPr>
        <w:tc>
          <w:tcPr>
            <w:tcW w:w="1541" w:type="dxa"/>
            <w:shd w:val="clear" w:color="auto" w:fill="auto"/>
          </w:tcPr>
          <w:p w14:paraId="3AA3A3BE" w14:textId="77777777" w:rsidR="001C3B8A" w:rsidRDefault="001C3B8A" w:rsidP="00D659F1">
            <w:pPr>
              <w:jc w:val="center"/>
            </w:pPr>
            <w:r>
              <w:t>2030</w:t>
            </w:r>
          </w:p>
        </w:tc>
        <w:tc>
          <w:tcPr>
            <w:tcW w:w="1541" w:type="dxa"/>
            <w:shd w:val="clear" w:color="auto" w:fill="auto"/>
          </w:tcPr>
          <w:p w14:paraId="32CD872B" w14:textId="77777777" w:rsidR="001C3B8A" w:rsidRDefault="001C3B8A" w:rsidP="00D659F1">
            <w:pPr>
              <w:jc w:val="center"/>
            </w:pPr>
            <w:r>
              <w:t>0.0%</w:t>
            </w:r>
          </w:p>
        </w:tc>
        <w:tc>
          <w:tcPr>
            <w:tcW w:w="1541" w:type="dxa"/>
            <w:shd w:val="clear" w:color="auto" w:fill="auto"/>
          </w:tcPr>
          <w:p w14:paraId="11C7399E" w14:textId="77777777" w:rsidR="001C3B8A" w:rsidRDefault="001C3B8A" w:rsidP="00D659F1">
            <w:pPr>
              <w:jc w:val="center"/>
            </w:pPr>
            <w:r>
              <w:t>40.1%</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22FA1055"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6E514D9D"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401B7DD7" w14:textId="77777777" w:rsidR="001C3B8A" w:rsidRDefault="001C3B8A" w:rsidP="00D659F1">
            <w:pPr>
              <w:jc w:val="center"/>
            </w:pPr>
            <w:r>
              <w:t>0.0%</w:t>
            </w:r>
          </w:p>
        </w:tc>
        <w:tc>
          <w:tcPr>
            <w:tcW w:w="1542" w:type="dxa"/>
            <w:shd w:val="clear" w:color="auto" w:fill="auto"/>
          </w:tcPr>
          <w:p w14:paraId="79B77A0B" w14:textId="77777777" w:rsidR="001C3B8A" w:rsidRDefault="001C3B8A" w:rsidP="00D659F1">
            <w:pPr>
              <w:jc w:val="center"/>
            </w:pPr>
            <w:r>
              <w:t>30.0%</w:t>
            </w:r>
          </w:p>
        </w:tc>
      </w:tr>
      <w:tr w:rsidR="001C3B8A" w14:paraId="43B33ADF" w14:textId="77777777" w:rsidTr="00D659F1">
        <w:trPr>
          <w:jc w:val="center"/>
        </w:trPr>
        <w:tc>
          <w:tcPr>
            <w:tcW w:w="1541" w:type="dxa"/>
          </w:tcPr>
          <w:p w14:paraId="25E9C858" w14:textId="77777777" w:rsidR="001C3B8A" w:rsidRDefault="001C3B8A" w:rsidP="00D659F1">
            <w:pPr>
              <w:jc w:val="center"/>
            </w:pPr>
            <w:r>
              <w:t>2031</w:t>
            </w:r>
          </w:p>
        </w:tc>
        <w:tc>
          <w:tcPr>
            <w:tcW w:w="1541" w:type="dxa"/>
          </w:tcPr>
          <w:p w14:paraId="14B7AFA3" w14:textId="77777777" w:rsidR="001C3B8A" w:rsidRDefault="001C3B8A" w:rsidP="00D659F1">
            <w:pPr>
              <w:jc w:val="center"/>
            </w:pPr>
            <w:r>
              <w:t>0.0%</w:t>
            </w:r>
          </w:p>
        </w:tc>
        <w:tc>
          <w:tcPr>
            <w:tcW w:w="1541" w:type="dxa"/>
          </w:tcPr>
          <w:p w14:paraId="65D9C79F" w14:textId="77777777" w:rsidR="001C3B8A" w:rsidRDefault="001C3B8A" w:rsidP="00D659F1">
            <w:pPr>
              <w:jc w:val="center"/>
            </w:pPr>
            <w:r>
              <w:t>38.1%</w:t>
            </w:r>
          </w:p>
        </w:tc>
        <w:tc>
          <w:tcPr>
            <w:tcW w:w="1541" w:type="dxa"/>
            <w:tcBorders>
              <w:top w:val="single" w:sz="4" w:space="0" w:color="auto"/>
              <w:left w:val="single" w:sz="4" w:space="0" w:color="auto"/>
              <w:bottom w:val="single" w:sz="4" w:space="0" w:color="auto"/>
              <w:right w:val="single" w:sz="4" w:space="0" w:color="auto"/>
            </w:tcBorders>
          </w:tcPr>
          <w:p w14:paraId="6ECBFC92"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22A556C4"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3BFE5C12" w14:textId="77777777" w:rsidR="001C3B8A" w:rsidRDefault="001C3B8A" w:rsidP="00D659F1">
            <w:pPr>
              <w:jc w:val="center"/>
            </w:pPr>
            <w:r>
              <w:t>0.0%</w:t>
            </w:r>
          </w:p>
        </w:tc>
        <w:tc>
          <w:tcPr>
            <w:tcW w:w="1542" w:type="dxa"/>
          </w:tcPr>
          <w:p w14:paraId="281EE13A" w14:textId="77777777" w:rsidR="001C3B8A" w:rsidRDefault="001C3B8A" w:rsidP="00D659F1">
            <w:pPr>
              <w:jc w:val="center"/>
            </w:pPr>
            <w:r>
              <w:t>32.0%</w:t>
            </w:r>
          </w:p>
        </w:tc>
      </w:tr>
      <w:tr w:rsidR="001C3B8A" w14:paraId="6E546522" w14:textId="77777777" w:rsidTr="00D659F1">
        <w:trPr>
          <w:jc w:val="center"/>
        </w:trPr>
        <w:tc>
          <w:tcPr>
            <w:tcW w:w="1541" w:type="dxa"/>
          </w:tcPr>
          <w:p w14:paraId="4DE65DD2" w14:textId="77777777" w:rsidR="001C3B8A" w:rsidRDefault="001C3B8A" w:rsidP="00D659F1">
            <w:pPr>
              <w:jc w:val="center"/>
            </w:pPr>
            <w:r>
              <w:t>2032</w:t>
            </w:r>
          </w:p>
        </w:tc>
        <w:tc>
          <w:tcPr>
            <w:tcW w:w="1541" w:type="dxa"/>
          </w:tcPr>
          <w:p w14:paraId="19AA0ED8" w14:textId="77777777" w:rsidR="001C3B8A" w:rsidRDefault="001C3B8A" w:rsidP="00D659F1">
            <w:pPr>
              <w:jc w:val="center"/>
            </w:pPr>
            <w:r>
              <w:t>0.0%</w:t>
            </w:r>
          </w:p>
        </w:tc>
        <w:tc>
          <w:tcPr>
            <w:tcW w:w="1541" w:type="dxa"/>
          </w:tcPr>
          <w:p w14:paraId="2C0827DF" w14:textId="77777777" w:rsidR="001C3B8A" w:rsidRDefault="001C3B8A" w:rsidP="00D659F1">
            <w:pPr>
              <w:jc w:val="center"/>
            </w:pPr>
            <w:r>
              <w:t>36.1%</w:t>
            </w:r>
          </w:p>
        </w:tc>
        <w:tc>
          <w:tcPr>
            <w:tcW w:w="1541" w:type="dxa"/>
            <w:tcBorders>
              <w:top w:val="single" w:sz="4" w:space="0" w:color="auto"/>
              <w:left w:val="single" w:sz="4" w:space="0" w:color="auto"/>
              <w:bottom w:val="single" w:sz="4" w:space="0" w:color="auto"/>
              <w:right w:val="single" w:sz="4" w:space="0" w:color="auto"/>
            </w:tcBorders>
          </w:tcPr>
          <w:p w14:paraId="4FEE60B7"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070129FF"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52B4C320" w14:textId="77777777" w:rsidR="001C3B8A" w:rsidRDefault="001C3B8A" w:rsidP="00D659F1">
            <w:pPr>
              <w:jc w:val="center"/>
            </w:pPr>
            <w:r>
              <w:t>0.0%</w:t>
            </w:r>
          </w:p>
        </w:tc>
        <w:tc>
          <w:tcPr>
            <w:tcW w:w="1542" w:type="dxa"/>
          </w:tcPr>
          <w:p w14:paraId="7BAE71E5" w14:textId="77777777" w:rsidR="001C3B8A" w:rsidRDefault="001C3B8A" w:rsidP="00D659F1">
            <w:pPr>
              <w:jc w:val="center"/>
            </w:pPr>
            <w:r>
              <w:t>34.0%</w:t>
            </w:r>
          </w:p>
        </w:tc>
      </w:tr>
      <w:bookmarkEnd w:id="57"/>
      <w:tr w:rsidR="001C3B8A" w14:paraId="63A990D3" w14:textId="77777777" w:rsidTr="00D659F1">
        <w:trPr>
          <w:jc w:val="center"/>
        </w:trPr>
        <w:tc>
          <w:tcPr>
            <w:tcW w:w="1541" w:type="dxa"/>
          </w:tcPr>
          <w:p w14:paraId="36B8CECD" w14:textId="77777777" w:rsidR="001C3B8A" w:rsidRDefault="001C3B8A" w:rsidP="00D659F1">
            <w:pPr>
              <w:jc w:val="center"/>
            </w:pPr>
            <w:r>
              <w:t>2033</w:t>
            </w:r>
          </w:p>
        </w:tc>
        <w:tc>
          <w:tcPr>
            <w:tcW w:w="1541" w:type="dxa"/>
          </w:tcPr>
          <w:p w14:paraId="6AE25547" w14:textId="77777777" w:rsidR="001C3B8A" w:rsidRDefault="001C3B8A" w:rsidP="00D659F1">
            <w:pPr>
              <w:jc w:val="center"/>
            </w:pPr>
            <w:r>
              <w:t>0.0%</w:t>
            </w:r>
          </w:p>
        </w:tc>
        <w:tc>
          <w:tcPr>
            <w:tcW w:w="1541" w:type="dxa"/>
          </w:tcPr>
          <w:p w14:paraId="07EE7796" w14:textId="77777777" w:rsidR="001C3B8A" w:rsidRDefault="001C3B8A" w:rsidP="00D659F1">
            <w:pPr>
              <w:jc w:val="center"/>
            </w:pPr>
            <w:r>
              <w:t>34.1%</w:t>
            </w:r>
          </w:p>
        </w:tc>
        <w:tc>
          <w:tcPr>
            <w:tcW w:w="1541" w:type="dxa"/>
            <w:tcBorders>
              <w:top w:val="single" w:sz="4" w:space="0" w:color="auto"/>
              <w:left w:val="single" w:sz="4" w:space="0" w:color="auto"/>
              <w:bottom w:val="single" w:sz="4" w:space="0" w:color="auto"/>
              <w:right w:val="single" w:sz="4" w:space="0" w:color="auto"/>
            </w:tcBorders>
          </w:tcPr>
          <w:p w14:paraId="626E7375"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425031A9"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198DF84A" w14:textId="77777777" w:rsidR="001C3B8A" w:rsidRDefault="001C3B8A" w:rsidP="00D659F1">
            <w:pPr>
              <w:jc w:val="center"/>
            </w:pPr>
            <w:r>
              <w:t>0.0%</w:t>
            </w:r>
          </w:p>
        </w:tc>
        <w:tc>
          <w:tcPr>
            <w:tcW w:w="1542" w:type="dxa"/>
          </w:tcPr>
          <w:p w14:paraId="767AE4D4" w14:textId="77777777" w:rsidR="001C3B8A" w:rsidRDefault="001C3B8A" w:rsidP="00D659F1">
            <w:pPr>
              <w:jc w:val="center"/>
            </w:pPr>
            <w:r>
              <w:t>36.0%</w:t>
            </w:r>
          </w:p>
        </w:tc>
      </w:tr>
      <w:tr w:rsidR="001C3B8A" w14:paraId="7B4BE163" w14:textId="77777777" w:rsidTr="00D659F1">
        <w:trPr>
          <w:jc w:val="center"/>
        </w:trPr>
        <w:tc>
          <w:tcPr>
            <w:tcW w:w="1541" w:type="dxa"/>
          </w:tcPr>
          <w:p w14:paraId="7B25D992" w14:textId="77777777" w:rsidR="001C3B8A" w:rsidRDefault="001C3B8A" w:rsidP="00D659F1">
            <w:pPr>
              <w:jc w:val="center"/>
            </w:pPr>
            <w:r>
              <w:t>2034</w:t>
            </w:r>
          </w:p>
        </w:tc>
        <w:tc>
          <w:tcPr>
            <w:tcW w:w="1541" w:type="dxa"/>
            <w:tcBorders>
              <w:top w:val="single" w:sz="4" w:space="0" w:color="auto"/>
              <w:left w:val="single" w:sz="4" w:space="0" w:color="auto"/>
              <w:bottom w:val="single" w:sz="4" w:space="0" w:color="auto"/>
              <w:right w:val="single" w:sz="4" w:space="0" w:color="auto"/>
            </w:tcBorders>
          </w:tcPr>
          <w:p w14:paraId="7618BDF5" w14:textId="77777777" w:rsidR="001C3B8A" w:rsidRDefault="001C3B8A" w:rsidP="00D659F1">
            <w:pPr>
              <w:jc w:val="center"/>
            </w:pPr>
            <w:r>
              <w:t>0.0%</w:t>
            </w:r>
          </w:p>
        </w:tc>
        <w:tc>
          <w:tcPr>
            <w:tcW w:w="1541" w:type="dxa"/>
          </w:tcPr>
          <w:p w14:paraId="2E3C4D07" w14:textId="77777777" w:rsidR="001C3B8A" w:rsidRDefault="001C3B8A" w:rsidP="00D659F1">
            <w:pPr>
              <w:jc w:val="center"/>
            </w:pPr>
            <w:r>
              <w:t>32.1%</w:t>
            </w:r>
          </w:p>
        </w:tc>
        <w:tc>
          <w:tcPr>
            <w:tcW w:w="1541" w:type="dxa"/>
            <w:tcBorders>
              <w:top w:val="single" w:sz="4" w:space="0" w:color="auto"/>
              <w:left w:val="single" w:sz="4" w:space="0" w:color="auto"/>
              <w:bottom w:val="single" w:sz="4" w:space="0" w:color="auto"/>
              <w:right w:val="single" w:sz="4" w:space="0" w:color="auto"/>
            </w:tcBorders>
          </w:tcPr>
          <w:p w14:paraId="5A63C41B"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40673359"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5229BA9E" w14:textId="77777777" w:rsidR="001C3B8A" w:rsidRDefault="001C3B8A" w:rsidP="00D659F1">
            <w:pPr>
              <w:jc w:val="center"/>
            </w:pPr>
            <w:r>
              <w:t>0.0%</w:t>
            </w:r>
          </w:p>
        </w:tc>
        <w:tc>
          <w:tcPr>
            <w:tcW w:w="1542" w:type="dxa"/>
          </w:tcPr>
          <w:p w14:paraId="25E91EB6" w14:textId="77777777" w:rsidR="001C3B8A" w:rsidRDefault="001C3B8A" w:rsidP="00D659F1">
            <w:pPr>
              <w:jc w:val="center"/>
            </w:pPr>
            <w:r>
              <w:t>38.0%</w:t>
            </w:r>
          </w:p>
        </w:tc>
      </w:tr>
      <w:tr w:rsidR="001C3B8A" w14:paraId="6021AE79" w14:textId="77777777" w:rsidTr="00D659F1">
        <w:trPr>
          <w:jc w:val="center"/>
        </w:trPr>
        <w:tc>
          <w:tcPr>
            <w:tcW w:w="1541" w:type="dxa"/>
          </w:tcPr>
          <w:p w14:paraId="291298CA" w14:textId="77777777" w:rsidR="001C3B8A" w:rsidRDefault="001C3B8A" w:rsidP="00D659F1">
            <w:pPr>
              <w:jc w:val="center"/>
            </w:pPr>
            <w:r>
              <w:t>2035</w:t>
            </w:r>
          </w:p>
        </w:tc>
        <w:tc>
          <w:tcPr>
            <w:tcW w:w="1541" w:type="dxa"/>
            <w:tcBorders>
              <w:top w:val="single" w:sz="4" w:space="0" w:color="auto"/>
              <w:left w:val="single" w:sz="4" w:space="0" w:color="auto"/>
              <w:bottom w:val="single" w:sz="4" w:space="0" w:color="auto"/>
              <w:right w:val="single" w:sz="4" w:space="0" w:color="auto"/>
            </w:tcBorders>
          </w:tcPr>
          <w:p w14:paraId="497C40BE" w14:textId="77777777" w:rsidR="001C3B8A" w:rsidRDefault="001C3B8A" w:rsidP="00D659F1">
            <w:pPr>
              <w:jc w:val="center"/>
            </w:pPr>
            <w:r>
              <w:t>0.0%</w:t>
            </w:r>
          </w:p>
        </w:tc>
        <w:tc>
          <w:tcPr>
            <w:tcW w:w="1541" w:type="dxa"/>
          </w:tcPr>
          <w:p w14:paraId="3ECC9E2D" w14:textId="77777777" w:rsidR="001C3B8A" w:rsidRDefault="001C3B8A" w:rsidP="00D659F1">
            <w:pPr>
              <w:jc w:val="center"/>
            </w:pPr>
            <w:r>
              <w:t>30.1%</w:t>
            </w:r>
          </w:p>
        </w:tc>
        <w:tc>
          <w:tcPr>
            <w:tcW w:w="1541" w:type="dxa"/>
            <w:tcBorders>
              <w:top w:val="single" w:sz="4" w:space="0" w:color="auto"/>
              <w:left w:val="single" w:sz="4" w:space="0" w:color="auto"/>
              <w:bottom w:val="single" w:sz="4" w:space="0" w:color="auto"/>
              <w:right w:val="single" w:sz="4" w:space="0" w:color="auto"/>
            </w:tcBorders>
          </w:tcPr>
          <w:p w14:paraId="4ADD066E"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1C4C7AE3"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3D131089" w14:textId="77777777" w:rsidR="001C3B8A" w:rsidRDefault="001C3B8A" w:rsidP="00D659F1">
            <w:pPr>
              <w:jc w:val="center"/>
            </w:pPr>
            <w:r>
              <w:t>0.0%</w:t>
            </w:r>
          </w:p>
        </w:tc>
        <w:tc>
          <w:tcPr>
            <w:tcW w:w="1542" w:type="dxa"/>
          </w:tcPr>
          <w:p w14:paraId="1F6E28D8" w14:textId="77777777" w:rsidR="001C3B8A" w:rsidRDefault="001C3B8A" w:rsidP="00D659F1">
            <w:pPr>
              <w:jc w:val="center"/>
            </w:pPr>
            <w:r>
              <w:t>40.0%</w:t>
            </w:r>
          </w:p>
        </w:tc>
      </w:tr>
      <w:tr w:rsidR="001C3B8A" w14:paraId="23A0BA60" w14:textId="77777777" w:rsidTr="00D659F1">
        <w:trPr>
          <w:jc w:val="center"/>
        </w:trPr>
        <w:tc>
          <w:tcPr>
            <w:tcW w:w="1541" w:type="dxa"/>
          </w:tcPr>
          <w:p w14:paraId="072F4728" w14:textId="77777777" w:rsidR="001C3B8A" w:rsidRDefault="001C3B8A" w:rsidP="00D659F1">
            <w:pPr>
              <w:jc w:val="center"/>
            </w:pPr>
            <w:r>
              <w:t>2036</w:t>
            </w:r>
          </w:p>
        </w:tc>
        <w:tc>
          <w:tcPr>
            <w:tcW w:w="1541" w:type="dxa"/>
            <w:tcBorders>
              <w:top w:val="single" w:sz="4" w:space="0" w:color="auto"/>
              <w:left w:val="single" w:sz="4" w:space="0" w:color="auto"/>
              <w:bottom w:val="single" w:sz="4" w:space="0" w:color="auto"/>
              <w:right w:val="single" w:sz="4" w:space="0" w:color="auto"/>
            </w:tcBorders>
          </w:tcPr>
          <w:p w14:paraId="3BC96BED" w14:textId="77777777" w:rsidR="001C3B8A" w:rsidRDefault="001C3B8A" w:rsidP="00D659F1">
            <w:pPr>
              <w:jc w:val="center"/>
            </w:pPr>
            <w:r>
              <w:t>0.0%</w:t>
            </w:r>
          </w:p>
        </w:tc>
        <w:tc>
          <w:tcPr>
            <w:tcW w:w="1541" w:type="dxa"/>
          </w:tcPr>
          <w:p w14:paraId="393E24E3" w14:textId="77777777" w:rsidR="001C3B8A" w:rsidRDefault="001C3B8A" w:rsidP="00D659F1">
            <w:pPr>
              <w:jc w:val="center"/>
            </w:pPr>
            <w:r>
              <w:t>28.1%</w:t>
            </w:r>
          </w:p>
        </w:tc>
        <w:tc>
          <w:tcPr>
            <w:tcW w:w="1541" w:type="dxa"/>
            <w:tcBorders>
              <w:top w:val="single" w:sz="4" w:space="0" w:color="auto"/>
              <w:left w:val="single" w:sz="4" w:space="0" w:color="auto"/>
              <w:bottom w:val="single" w:sz="4" w:space="0" w:color="auto"/>
              <w:right w:val="single" w:sz="4" w:space="0" w:color="auto"/>
            </w:tcBorders>
          </w:tcPr>
          <w:p w14:paraId="2019DE60"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1B74CE69"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6B1F5B33" w14:textId="77777777" w:rsidR="001C3B8A" w:rsidRDefault="001C3B8A" w:rsidP="00D659F1">
            <w:pPr>
              <w:jc w:val="center"/>
            </w:pPr>
            <w:r>
              <w:t>0.0%</w:t>
            </w:r>
          </w:p>
        </w:tc>
        <w:tc>
          <w:tcPr>
            <w:tcW w:w="1542" w:type="dxa"/>
          </w:tcPr>
          <w:p w14:paraId="2CFA9130" w14:textId="77777777" w:rsidR="001C3B8A" w:rsidRDefault="001C3B8A" w:rsidP="00D659F1">
            <w:pPr>
              <w:jc w:val="center"/>
            </w:pPr>
            <w:r>
              <w:t>42.0%</w:t>
            </w:r>
          </w:p>
        </w:tc>
      </w:tr>
      <w:tr w:rsidR="001C3B8A" w14:paraId="21FF8733" w14:textId="77777777" w:rsidTr="00D659F1">
        <w:trPr>
          <w:jc w:val="center"/>
        </w:trPr>
        <w:tc>
          <w:tcPr>
            <w:tcW w:w="1541" w:type="dxa"/>
          </w:tcPr>
          <w:p w14:paraId="681AC9D7" w14:textId="77777777" w:rsidR="001C3B8A" w:rsidRDefault="001C3B8A" w:rsidP="00D659F1">
            <w:pPr>
              <w:jc w:val="center"/>
            </w:pPr>
            <w:r>
              <w:t>2037</w:t>
            </w:r>
          </w:p>
        </w:tc>
        <w:tc>
          <w:tcPr>
            <w:tcW w:w="1541" w:type="dxa"/>
            <w:tcBorders>
              <w:top w:val="single" w:sz="4" w:space="0" w:color="auto"/>
              <w:left w:val="single" w:sz="4" w:space="0" w:color="auto"/>
              <w:bottom w:val="single" w:sz="4" w:space="0" w:color="auto"/>
              <w:right w:val="single" w:sz="4" w:space="0" w:color="auto"/>
            </w:tcBorders>
          </w:tcPr>
          <w:p w14:paraId="66BE3C8E" w14:textId="77777777" w:rsidR="001C3B8A" w:rsidRDefault="001C3B8A" w:rsidP="00D659F1">
            <w:pPr>
              <w:jc w:val="center"/>
            </w:pPr>
            <w:r>
              <w:t>0.0%</w:t>
            </w:r>
          </w:p>
        </w:tc>
        <w:tc>
          <w:tcPr>
            <w:tcW w:w="1541" w:type="dxa"/>
          </w:tcPr>
          <w:p w14:paraId="2B2612AA" w14:textId="77777777" w:rsidR="001C3B8A" w:rsidRDefault="001C3B8A" w:rsidP="00D659F1">
            <w:pPr>
              <w:jc w:val="center"/>
            </w:pPr>
            <w:r>
              <w:t>26.1%</w:t>
            </w:r>
          </w:p>
        </w:tc>
        <w:tc>
          <w:tcPr>
            <w:tcW w:w="1541" w:type="dxa"/>
            <w:tcBorders>
              <w:top w:val="single" w:sz="4" w:space="0" w:color="auto"/>
              <w:left w:val="single" w:sz="4" w:space="0" w:color="auto"/>
              <w:bottom w:val="single" w:sz="4" w:space="0" w:color="auto"/>
              <w:right w:val="single" w:sz="4" w:space="0" w:color="auto"/>
            </w:tcBorders>
          </w:tcPr>
          <w:p w14:paraId="6EA6DFFE"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12EC041E"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0366BBA8" w14:textId="77777777" w:rsidR="001C3B8A" w:rsidRDefault="001C3B8A" w:rsidP="00D659F1">
            <w:pPr>
              <w:jc w:val="center"/>
            </w:pPr>
            <w:r>
              <w:t>0.0%</w:t>
            </w:r>
          </w:p>
        </w:tc>
        <w:tc>
          <w:tcPr>
            <w:tcW w:w="1542" w:type="dxa"/>
          </w:tcPr>
          <w:p w14:paraId="1739DDD2" w14:textId="77777777" w:rsidR="001C3B8A" w:rsidRDefault="001C3B8A" w:rsidP="00D659F1">
            <w:pPr>
              <w:jc w:val="center"/>
            </w:pPr>
            <w:r>
              <w:t>44.0%</w:t>
            </w:r>
          </w:p>
        </w:tc>
      </w:tr>
      <w:tr w:rsidR="001C3B8A" w14:paraId="17A165F5" w14:textId="77777777" w:rsidTr="00D659F1">
        <w:trPr>
          <w:jc w:val="center"/>
        </w:trPr>
        <w:tc>
          <w:tcPr>
            <w:tcW w:w="1541" w:type="dxa"/>
          </w:tcPr>
          <w:p w14:paraId="62F2750F" w14:textId="77777777" w:rsidR="001C3B8A" w:rsidRDefault="001C3B8A" w:rsidP="00D659F1">
            <w:pPr>
              <w:jc w:val="center"/>
            </w:pPr>
            <w:r>
              <w:t>2038</w:t>
            </w:r>
          </w:p>
        </w:tc>
        <w:tc>
          <w:tcPr>
            <w:tcW w:w="1541" w:type="dxa"/>
            <w:tcBorders>
              <w:top w:val="single" w:sz="4" w:space="0" w:color="auto"/>
              <w:left w:val="single" w:sz="4" w:space="0" w:color="auto"/>
              <w:bottom w:val="single" w:sz="4" w:space="0" w:color="auto"/>
              <w:right w:val="single" w:sz="4" w:space="0" w:color="auto"/>
            </w:tcBorders>
          </w:tcPr>
          <w:p w14:paraId="0A81AFDF" w14:textId="77777777" w:rsidR="001C3B8A" w:rsidRDefault="001C3B8A" w:rsidP="00D659F1">
            <w:pPr>
              <w:jc w:val="center"/>
            </w:pPr>
            <w:r>
              <w:t>0.0%</w:t>
            </w:r>
          </w:p>
        </w:tc>
        <w:tc>
          <w:tcPr>
            <w:tcW w:w="1541" w:type="dxa"/>
          </w:tcPr>
          <w:p w14:paraId="2C44B54F" w14:textId="77777777" w:rsidR="001C3B8A" w:rsidRDefault="001C3B8A" w:rsidP="00D659F1">
            <w:pPr>
              <w:jc w:val="center"/>
            </w:pPr>
            <w:r>
              <w:t>24.1%</w:t>
            </w:r>
          </w:p>
        </w:tc>
        <w:tc>
          <w:tcPr>
            <w:tcW w:w="1541" w:type="dxa"/>
            <w:tcBorders>
              <w:top w:val="single" w:sz="4" w:space="0" w:color="auto"/>
              <w:left w:val="single" w:sz="4" w:space="0" w:color="auto"/>
              <w:bottom w:val="single" w:sz="4" w:space="0" w:color="auto"/>
              <w:right w:val="single" w:sz="4" w:space="0" w:color="auto"/>
            </w:tcBorders>
          </w:tcPr>
          <w:p w14:paraId="62EC737C"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24174972"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2C695562" w14:textId="77777777" w:rsidR="001C3B8A" w:rsidRDefault="001C3B8A" w:rsidP="00D659F1">
            <w:pPr>
              <w:jc w:val="center"/>
            </w:pPr>
            <w:r>
              <w:t>0.0%</w:t>
            </w:r>
          </w:p>
        </w:tc>
        <w:tc>
          <w:tcPr>
            <w:tcW w:w="1542" w:type="dxa"/>
          </w:tcPr>
          <w:p w14:paraId="5FFD6891" w14:textId="77777777" w:rsidR="001C3B8A" w:rsidRDefault="001C3B8A" w:rsidP="00D659F1">
            <w:pPr>
              <w:jc w:val="center"/>
            </w:pPr>
            <w:r>
              <w:t>46.0%</w:t>
            </w:r>
          </w:p>
        </w:tc>
      </w:tr>
      <w:tr w:rsidR="001C3B8A" w14:paraId="177EBE2C" w14:textId="77777777" w:rsidTr="00D659F1">
        <w:trPr>
          <w:jc w:val="center"/>
        </w:trPr>
        <w:tc>
          <w:tcPr>
            <w:tcW w:w="1541" w:type="dxa"/>
          </w:tcPr>
          <w:p w14:paraId="25D13555" w14:textId="77777777" w:rsidR="001C3B8A" w:rsidRDefault="001C3B8A" w:rsidP="00D659F1">
            <w:pPr>
              <w:jc w:val="center"/>
            </w:pPr>
            <w:bookmarkStart w:id="62" w:name="_Hlk133397133"/>
            <w:r>
              <w:t>2039</w:t>
            </w:r>
          </w:p>
        </w:tc>
        <w:tc>
          <w:tcPr>
            <w:tcW w:w="1541" w:type="dxa"/>
            <w:tcBorders>
              <w:top w:val="single" w:sz="4" w:space="0" w:color="auto"/>
              <w:left w:val="single" w:sz="4" w:space="0" w:color="auto"/>
              <w:bottom w:val="single" w:sz="4" w:space="0" w:color="auto"/>
              <w:right w:val="single" w:sz="4" w:space="0" w:color="auto"/>
            </w:tcBorders>
          </w:tcPr>
          <w:p w14:paraId="65F7C2BC" w14:textId="77777777" w:rsidR="001C3B8A" w:rsidRDefault="001C3B8A" w:rsidP="00D659F1">
            <w:pPr>
              <w:jc w:val="center"/>
            </w:pPr>
            <w:r>
              <w:t>0.0%</w:t>
            </w:r>
          </w:p>
        </w:tc>
        <w:tc>
          <w:tcPr>
            <w:tcW w:w="1541" w:type="dxa"/>
          </w:tcPr>
          <w:p w14:paraId="6CF6A3B9" w14:textId="77777777" w:rsidR="001C3B8A" w:rsidRDefault="001C3B8A" w:rsidP="00D659F1">
            <w:pPr>
              <w:jc w:val="center"/>
            </w:pPr>
            <w:r>
              <w:t>22.1%</w:t>
            </w:r>
          </w:p>
        </w:tc>
        <w:tc>
          <w:tcPr>
            <w:tcW w:w="1541" w:type="dxa"/>
            <w:tcBorders>
              <w:top w:val="single" w:sz="4" w:space="0" w:color="auto"/>
              <w:left w:val="single" w:sz="4" w:space="0" w:color="auto"/>
              <w:bottom w:val="single" w:sz="4" w:space="0" w:color="auto"/>
              <w:right w:val="single" w:sz="4" w:space="0" w:color="auto"/>
            </w:tcBorders>
          </w:tcPr>
          <w:p w14:paraId="4CF3F2F5"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45BC797F"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6A8DC477" w14:textId="77777777" w:rsidR="001C3B8A" w:rsidRDefault="001C3B8A" w:rsidP="00D659F1">
            <w:pPr>
              <w:jc w:val="center"/>
            </w:pPr>
            <w:r>
              <w:t>0.0%</w:t>
            </w:r>
          </w:p>
        </w:tc>
        <w:tc>
          <w:tcPr>
            <w:tcW w:w="1542" w:type="dxa"/>
          </w:tcPr>
          <w:p w14:paraId="5BB7066F" w14:textId="77777777" w:rsidR="001C3B8A" w:rsidRDefault="001C3B8A" w:rsidP="00D659F1">
            <w:pPr>
              <w:jc w:val="center"/>
            </w:pPr>
            <w:r>
              <w:t>48.0%</w:t>
            </w:r>
          </w:p>
        </w:tc>
      </w:tr>
      <w:tr w:rsidR="001C3B8A" w14:paraId="2A0E2E9F" w14:textId="77777777" w:rsidTr="00D659F1">
        <w:trPr>
          <w:jc w:val="center"/>
        </w:trPr>
        <w:tc>
          <w:tcPr>
            <w:tcW w:w="1541" w:type="dxa"/>
          </w:tcPr>
          <w:p w14:paraId="74525C66" w14:textId="77777777" w:rsidR="001C3B8A" w:rsidRDefault="001C3B8A" w:rsidP="00D659F1">
            <w:pPr>
              <w:jc w:val="center"/>
            </w:pPr>
            <w:r>
              <w:t>2040</w:t>
            </w:r>
          </w:p>
        </w:tc>
        <w:tc>
          <w:tcPr>
            <w:tcW w:w="1541" w:type="dxa"/>
            <w:tcBorders>
              <w:top w:val="single" w:sz="4" w:space="0" w:color="auto"/>
              <w:left w:val="single" w:sz="4" w:space="0" w:color="auto"/>
              <w:bottom w:val="single" w:sz="4" w:space="0" w:color="auto"/>
              <w:right w:val="single" w:sz="4" w:space="0" w:color="auto"/>
            </w:tcBorders>
          </w:tcPr>
          <w:p w14:paraId="16AF9AA9" w14:textId="77777777" w:rsidR="001C3B8A" w:rsidRDefault="001C3B8A" w:rsidP="00D659F1">
            <w:pPr>
              <w:jc w:val="center"/>
            </w:pPr>
            <w:r>
              <w:t>0.0%</w:t>
            </w:r>
          </w:p>
        </w:tc>
        <w:tc>
          <w:tcPr>
            <w:tcW w:w="1541" w:type="dxa"/>
          </w:tcPr>
          <w:p w14:paraId="69CD048F" w14:textId="77777777" w:rsidR="001C3B8A" w:rsidRDefault="001C3B8A" w:rsidP="00D659F1">
            <w:pPr>
              <w:jc w:val="center"/>
            </w:pPr>
            <w:r>
              <w:t>20.1%</w:t>
            </w:r>
          </w:p>
        </w:tc>
        <w:tc>
          <w:tcPr>
            <w:tcW w:w="1541" w:type="dxa"/>
            <w:tcBorders>
              <w:top w:val="single" w:sz="4" w:space="0" w:color="auto"/>
              <w:left w:val="single" w:sz="4" w:space="0" w:color="auto"/>
              <w:bottom w:val="single" w:sz="4" w:space="0" w:color="auto"/>
              <w:right w:val="single" w:sz="4" w:space="0" w:color="auto"/>
            </w:tcBorders>
          </w:tcPr>
          <w:p w14:paraId="7934C081"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77CA1DE7"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1FEA2FAA" w14:textId="77777777" w:rsidR="001C3B8A" w:rsidRDefault="001C3B8A" w:rsidP="00D659F1">
            <w:pPr>
              <w:jc w:val="center"/>
            </w:pPr>
            <w:r>
              <w:t>0.0%</w:t>
            </w:r>
          </w:p>
        </w:tc>
        <w:tc>
          <w:tcPr>
            <w:tcW w:w="1542" w:type="dxa"/>
          </w:tcPr>
          <w:p w14:paraId="76335343" w14:textId="77777777" w:rsidR="001C3B8A" w:rsidRDefault="001C3B8A" w:rsidP="00D659F1">
            <w:pPr>
              <w:jc w:val="center"/>
            </w:pPr>
            <w:r>
              <w:t>50.1%</w:t>
            </w:r>
          </w:p>
        </w:tc>
      </w:tr>
      <w:bookmarkEnd w:id="62"/>
      <w:tr w:rsidR="001C3B8A" w14:paraId="43BDB88A" w14:textId="77777777" w:rsidTr="00D659F1">
        <w:trPr>
          <w:jc w:val="center"/>
        </w:trPr>
        <w:tc>
          <w:tcPr>
            <w:tcW w:w="1541" w:type="dxa"/>
          </w:tcPr>
          <w:p w14:paraId="7D1F5835" w14:textId="77777777" w:rsidR="001C3B8A" w:rsidRDefault="001C3B8A" w:rsidP="00D659F1">
            <w:pPr>
              <w:jc w:val="center"/>
            </w:pPr>
            <w:r>
              <w:t>2041</w:t>
            </w:r>
          </w:p>
        </w:tc>
        <w:tc>
          <w:tcPr>
            <w:tcW w:w="1541" w:type="dxa"/>
            <w:tcBorders>
              <w:top w:val="single" w:sz="4" w:space="0" w:color="auto"/>
              <w:left w:val="single" w:sz="4" w:space="0" w:color="auto"/>
              <w:bottom w:val="single" w:sz="4" w:space="0" w:color="auto"/>
              <w:right w:val="single" w:sz="4" w:space="0" w:color="auto"/>
            </w:tcBorders>
          </w:tcPr>
          <w:p w14:paraId="3687F047"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tcPr>
          <w:p w14:paraId="1819938F" w14:textId="77777777" w:rsidR="001C3B8A" w:rsidRDefault="001C3B8A" w:rsidP="00D659F1">
            <w:pPr>
              <w:jc w:val="center"/>
            </w:pPr>
            <w:r>
              <w:t>18.0%</w:t>
            </w:r>
          </w:p>
        </w:tc>
        <w:tc>
          <w:tcPr>
            <w:tcW w:w="1541" w:type="dxa"/>
            <w:tcBorders>
              <w:top w:val="single" w:sz="4" w:space="0" w:color="auto"/>
              <w:left w:val="single" w:sz="4" w:space="0" w:color="auto"/>
              <w:bottom w:val="single" w:sz="4" w:space="0" w:color="auto"/>
              <w:right w:val="single" w:sz="4" w:space="0" w:color="auto"/>
            </w:tcBorders>
          </w:tcPr>
          <w:p w14:paraId="283E9E88"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0554891F"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171D2934" w14:textId="77777777" w:rsidR="001C3B8A" w:rsidRDefault="001C3B8A" w:rsidP="00D659F1">
            <w:pPr>
              <w:jc w:val="center"/>
            </w:pPr>
            <w:r>
              <w:t>0.0%</w:t>
            </w:r>
          </w:p>
        </w:tc>
        <w:tc>
          <w:tcPr>
            <w:tcW w:w="1542" w:type="dxa"/>
          </w:tcPr>
          <w:p w14:paraId="54C2798B" w14:textId="77777777" w:rsidR="001C3B8A" w:rsidRDefault="001C3B8A" w:rsidP="00D659F1">
            <w:pPr>
              <w:jc w:val="center"/>
            </w:pPr>
            <w:r>
              <w:t>52.1%</w:t>
            </w:r>
          </w:p>
        </w:tc>
      </w:tr>
      <w:tr w:rsidR="001C3B8A" w14:paraId="3257EDAA" w14:textId="77777777" w:rsidTr="00D659F1">
        <w:trPr>
          <w:jc w:val="center"/>
        </w:trPr>
        <w:tc>
          <w:tcPr>
            <w:tcW w:w="1541" w:type="dxa"/>
          </w:tcPr>
          <w:p w14:paraId="605D6750" w14:textId="77777777" w:rsidR="001C3B8A" w:rsidRDefault="001C3B8A" w:rsidP="00D659F1">
            <w:pPr>
              <w:jc w:val="center"/>
            </w:pPr>
            <w:r>
              <w:t>2042</w:t>
            </w:r>
          </w:p>
        </w:tc>
        <w:tc>
          <w:tcPr>
            <w:tcW w:w="1541" w:type="dxa"/>
            <w:tcBorders>
              <w:top w:val="single" w:sz="4" w:space="0" w:color="auto"/>
              <w:left w:val="single" w:sz="4" w:space="0" w:color="auto"/>
              <w:bottom w:val="single" w:sz="4" w:space="0" w:color="auto"/>
              <w:right w:val="single" w:sz="4" w:space="0" w:color="auto"/>
            </w:tcBorders>
          </w:tcPr>
          <w:p w14:paraId="7A515874"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tcPr>
          <w:p w14:paraId="1DBB45AA" w14:textId="77777777" w:rsidR="001C3B8A" w:rsidRDefault="001C3B8A" w:rsidP="00D659F1">
            <w:pPr>
              <w:jc w:val="center"/>
            </w:pPr>
            <w:r>
              <w:t>16.0%</w:t>
            </w:r>
          </w:p>
        </w:tc>
        <w:tc>
          <w:tcPr>
            <w:tcW w:w="1541" w:type="dxa"/>
            <w:tcBorders>
              <w:top w:val="single" w:sz="4" w:space="0" w:color="auto"/>
              <w:left w:val="single" w:sz="4" w:space="0" w:color="auto"/>
              <w:bottom w:val="single" w:sz="4" w:space="0" w:color="auto"/>
              <w:right w:val="single" w:sz="4" w:space="0" w:color="auto"/>
            </w:tcBorders>
          </w:tcPr>
          <w:p w14:paraId="346C5769"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3B622A04"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3FF2B13F" w14:textId="77777777" w:rsidR="001C3B8A" w:rsidRDefault="001C3B8A" w:rsidP="00D659F1">
            <w:pPr>
              <w:jc w:val="center"/>
            </w:pPr>
            <w:r>
              <w:t>0.0%</w:t>
            </w:r>
          </w:p>
        </w:tc>
        <w:tc>
          <w:tcPr>
            <w:tcW w:w="1542" w:type="dxa"/>
          </w:tcPr>
          <w:p w14:paraId="5C8696E6" w14:textId="77777777" w:rsidR="001C3B8A" w:rsidRDefault="001C3B8A" w:rsidP="00D659F1">
            <w:pPr>
              <w:jc w:val="center"/>
            </w:pPr>
            <w:r>
              <w:t>54.1%</w:t>
            </w:r>
          </w:p>
        </w:tc>
      </w:tr>
      <w:tr w:rsidR="001C3B8A" w14:paraId="45002B8B" w14:textId="77777777" w:rsidTr="00D659F1">
        <w:trPr>
          <w:jc w:val="center"/>
        </w:trPr>
        <w:tc>
          <w:tcPr>
            <w:tcW w:w="1541" w:type="dxa"/>
          </w:tcPr>
          <w:p w14:paraId="7245731D" w14:textId="77777777" w:rsidR="001C3B8A" w:rsidRDefault="001C3B8A" w:rsidP="00D659F1">
            <w:pPr>
              <w:jc w:val="center"/>
            </w:pPr>
            <w:r>
              <w:t>2043</w:t>
            </w:r>
          </w:p>
        </w:tc>
        <w:tc>
          <w:tcPr>
            <w:tcW w:w="1541" w:type="dxa"/>
            <w:tcBorders>
              <w:top w:val="single" w:sz="4" w:space="0" w:color="auto"/>
              <w:left w:val="single" w:sz="4" w:space="0" w:color="auto"/>
              <w:bottom w:val="single" w:sz="4" w:space="0" w:color="auto"/>
              <w:right w:val="single" w:sz="4" w:space="0" w:color="auto"/>
            </w:tcBorders>
          </w:tcPr>
          <w:p w14:paraId="6D5E1000"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tcPr>
          <w:p w14:paraId="4C98C291" w14:textId="77777777" w:rsidR="001C3B8A" w:rsidRDefault="001C3B8A" w:rsidP="00D659F1">
            <w:pPr>
              <w:jc w:val="center"/>
            </w:pPr>
            <w:r>
              <w:t>14.0%</w:t>
            </w:r>
          </w:p>
        </w:tc>
        <w:tc>
          <w:tcPr>
            <w:tcW w:w="1541" w:type="dxa"/>
            <w:tcBorders>
              <w:top w:val="single" w:sz="4" w:space="0" w:color="auto"/>
              <w:left w:val="single" w:sz="4" w:space="0" w:color="auto"/>
              <w:bottom w:val="single" w:sz="4" w:space="0" w:color="auto"/>
              <w:right w:val="single" w:sz="4" w:space="0" w:color="auto"/>
            </w:tcBorders>
          </w:tcPr>
          <w:p w14:paraId="1B6D042D"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40460179"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58B3519A" w14:textId="77777777" w:rsidR="001C3B8A" w:rsidRDefault="001C3B8A" w:rsidP="00D659F1">
            <w:pPr>
              <w:jc w:val="center"/>
            </w:pPr>
            <w:r>
              <w:t>0.0%</w:t>
            </w:r>
          </w:p>
        </w:tc>
        <w:tc>
          <w:tcPr>
            <w:tcW w:w="1542" w:type="dxa"/>
          </w:tcPr>
          <w:p w14:paraId="724E6832" w14:textId="77777777" w:rsidR="001C3B8A" w:rsidRDefault="001C3B8A" w:rsidP="00D659F1">
            <w:pPr>
              <w:jc w:val="center"/>
            </w:pPr>
            <w:r>
              <w:t>56.1%</w:t>
            </w:r>
          </w:p>
        </w:tc>
      </w:tr>
      <w:tr w:rsidR="001C3B8A" w14:paraId="206AA6D8" w14:textId="77777777" w:rsidTr="00D659F1">
        <w:trPr>
          <w:jc w:val="center"/>
        </w:trPr>
        <w:tc>
          <w:tcPr>
            <w:tcW w:w="1541" w:type="dxa"/>
          </w:tcPr>
          <w:p w14:paraId="32934432" w14:textId="77777777" w:rsidR="001C3B8A" w:rsidRDefault="001C3B8A" w:rsidP="00D659F1">
            <w:pPr>
              <w:jc w:val="center"/>
            </w:pPr>
            <w:r>
              <w:t>2044</w:t>
            </w:r>
          </w:p>
        </w:tc>
        <w:tc>
          <w:tcPr>
            <w:tcW w:w="1541" w:type="dxa"/>
            <w:tcBorders>
              <w:top w:val="single" w:sz="4" w:space="0" w:color="auto"/>
              <w:left w:val="single" w:sz="4" w:space="0" w:color="auto"/>
              <w:bottom w:val="single" w:sz="4" w:space="0" w:color="auto"/>
              <w:right w:val="single" w:sz="4" w:space="0" w:color="auto"/>
            </w:tcBorders>
          </w:tcPr>
          <w:p w14:paraId="56ABFDB1"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tcPr>
          <w:p w14:paraId="1F304CBD" w14:textId="77777777" w:rsidR="001C3B8A" w:rsidRDefault="001C3B8A" w:rsidP="00D659F1">
            <w:pPr>
              <w:jc w:val="center"/>
            </w:pPr>
            <w:r>
              <w:t>12.0%</w:t>
            </w:r>
          </w:p>
        </w:tc>
        <w:tc>
          <w:tcPr>
            <w:tcW w:w="1541" w:type="dxa"/>
            <w:tcBorders>
              <w:top w:val="single" w:sz="4" w:space="0" w:color="auto"/>
              <w:left w:val="single" w:sz="4" w:space="0" w:color="auto"/>
              <w:bottom w:val="single" w:sz="4" w:space="0" w:color="auto"/>
              <w:right w:val="single" w:sz="4" w:space="0" w:color="auto"/>
            </w:tcBorders>
          </w:tcPr>
          <w:p w14:paraId="1AFCB58B"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6BCD68E4"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423DD309" w14:textId="77777777" w:rsidR="001C3B8A" w:rsidRDefault="001C3B8A" w:rsidP="00D659F1">
            <w:pPr>
              <w:jc w:val="center"/>
            </w:pPr>
            <w:r>
              <w:t>0.0%</w:t>
            </w:r>
          </w:p>
        </w:tc>
        <w:tc>
          <w:tcPr>
            <w:tcW w:w="1542" w:type="dxa"/>
          </w:tcPr>
          <w:p w14:paraId="58D5E2CD" w14:textId="77777777" w:rsidR="001C3B8A" w:rsidRDefault="001C3B8A" w:rsidP="00D659F1">
            <w:pPr>
              <w:jc w:val="center"/>
            </w:pPr>
            <w:r>
              <w:t>58.1%</w:t>
            </w:r>
          </w:p>
        </w:tc>
      </w:tr>
      <w:tr w:rsidR="001C3B8A" w14:paraId="77D71B7E" w14:textId="77777777" w:rsidTr="00D659F1">
        <w:trPr>
          <w:jc w:val="center"/>
        </w:trPr>
        <w:tc>
          <w:tcPr>
            <w:tcW w:w="1541" w:type="dxa"/>
          </w:tcPr>
          <w:p w14:paraId="368F742D" w14:textId="77777777" w:rsidR="001C3B8A" w:rsidRDefault="001C3B8A" w:rsidP="00D659F1">
            <w:pPr>
              <w:jc w:val="center"/>
            </w:pPr>
            <w:r>
              <w:t>2045</w:t>
            </w:r>
          </w:p>
        </w:tc>
        <w:tc>
          <w:tcPr>
            <w:tcW w:w="1541" w:type="dxa"/>
            <w:tcBorders>
              <w:top w:val="single" w:sz="4" w:space="0" w:color="auto"/>
              <w:left w:val="single" w:sz="4" w:space="0" w:color="auto"/>
              <w:bottom w:val="single" w:sz="4" w:space="0" w:color="auto"/>
              <w:right w:val="single" w:sz="4" w:space="0" w:color="auto"/>
            </w:tcBorders>
          </w:tcPr>
          <w:p w14:paraId="3868B5AB"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tcPr>
          <w:p w14:paraId="240E3A5D" w14:textId="77777777" w:rsidR="001C3B8A" w:rsidRDefault="001C3B8A" w:rsidP="00D659F1">
            <w:pPr>
              <w:jc w:val="center"/>
            </w:pPr>
            <w:r>
              <w:t>10.0%</w:t>
            </w:r>
          </w:p>
        </w:tc>
        <w:tc>
          <w:tcPr>
            <w:tcW w:w="1541" w:type="dxa"/>
            <w:tcBorders>
              <w:top w:val="single" w:sz="4" w:space="0" w:color="auto"/>
              <w:left w:val="single" w:sz="4" w:space="0" w:color="auto"/>
              <w:bottom w:val="single" w:sz="4" w:space="0" w:color="auto"/>
              <w:right w:val="single" w:sz="4" w:space="0" w:color="auto"/>
            </w:tcBorders>
          </w:tcPr>
          <w:p w14:paraId="50E1C213"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7FDF26E5"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2EE410C9" w14:textId="77777777" w:rsidR="001C3B8A" w:rsidRDefault="001C3B8A" w:rsidP="00D659F1">
            <w:pPr>
              <w:jc w:val="center"/>
            </w:pPr>
            <w:r>
              <w:t>0.0%</w:t>
            </w:r>
          </w:p>
        </w:tc>
        <w:tc>
          <w:tcPr>
            <w:tcW w:w="1542" w:type="dxa"/>
          </w:tcPr>
          <w:p w14:paraId="7E64B094" w14:textId="77777777" w:rsidR="001C3B8A" w:rsidRDefault="001C3B8A" w:rsidP="00D659F1">
            <w:pPr>
              <w:jc w:val="center"/>
            </w:pPr>
            <w:r>
              <w:t>60.1%</w:t>
            </w:r>
          </w:p>
        </w:tc>
      </w:tr>
      <w:tr w:rsidR="001C3B8A" w14:paraId="315CA845" w14:textId="77777777" w:rsidTr="00D659F1">
        <w:trPr>
          <w:jc w:val="center"/>
        </w:trPr>
        <w:tc>
          <w:tcPr>
            <w:tcW w:w="1541" w:type="dxa"/>
          </w:tcPr>
          <w:p w14:paraId="1246A930" w14:textId="77777777" w:rsidR="001C3B8A" w:rsidRDefault="001C3B8A" w:rsidP="00D659F1">
            <w:pPr>
              <w:jc w:val="center"/>
            </w:pPr>
            <w:r>
              <w:t>2046</w:t>
            </w:r>
          </w:p>
        </w:tc>
        <w:tc>
          <w:tcPr>
            <w:tcW w:w="1541" w:type="dxa"/>
            <w:tcBorders>
              <w:top w:val="single" w:sz="4" w:space="0" w:color="auto"/>
              <w:left w:val="single" w:sz="4" w:space="0" w:color="auto"/>
              <w:bottom w:val="single" w:sz="4" w:space="0" w:color="auto"/>
              <w:right w:val="single" w:sz="4" w:space="0" w:color="auto"/>
            </w:tcBorders>
          </w:tcPr>
          <w:p w14:paraId="3BD54604"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tcPr>
          <w:p w14:paraId="7FEBEE67" w14:textId="77777777" w:rsidR="001C3B8A" w:rsidRDefault="001C3B8A" w:rsidP="00D659F1">
            <w:pPr>
              <w:jc w:val="center"/>
            </w:pPr>
            <w:r>
              <w:t>8.0%</w:t>
            </w:r>
          </w:p>
        </w:tc>
        <w:tc>
          <w:tcPr>
            <w:tcW w:w="1541" w:type="dxa"/>
            <w:tcBorders>
              <w:top w:val="single" w:sz="4" w:space="0" w:color="auto"/>
              <w:left w:val="single" w:sz="4" w:space="0" w:color="auto"/>
              <w:bottom w:val="single" w:sz="4" w:space="0" w:color="auto"/>
              <w:right w:val="single" w:sz="4" w:space="0" w:color="auto"/>
            </w:tcBorders>
          </w:tcPr>
          <w:p w14:paraId="1925D54A"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5B7432B3"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13C9ED6C" w14:textId="77777777" w:rsidR="001C3B8A" w:rsidRDefault="001C3B8A" w:rsidP="00D659F1">
            <w:pPr>
              <w:jc w:val="center"/>
            </w:pPr>
            <w:r>
              <w:t>0.0%</w:t>
            </w:r>
          </w:p>
        </w:tc>
        <w:tc>
          <w:tcPr>
            <w:tcW w:w="1542" w:type="dxa"/>
          </w:tcPr>
          <w:p w14:paraId="44A60D65" w14:textId="77777777" w:rsidR="001C3B8A" w:rsidRDefault="001C3B8A" w:rsidP="00D659F1">
            <w:pPr>
              <w:jc w:val="center"/>
            </w:pPr>
            <w:r>
              <w:t>62.1%</w:t>
            </w:r>
          </w:p>
        </w:tc>
      </w:tr>
      <w:tr w:rsidR="001C3B8A" w14:paraId="7529789B" w14:textId="77777777" w:rsidTr="00D659F1">
        <w:trPr>
          <w:jc w:val="center"/>
        </w:trPr>
        <w:tc>
          <w:tcPr>
            <w:tcW w:w="1541" w:type="dxa"/>
          </w:tcPr>
          <w:p w14:paraId="4AB02AF8" w14:textId="77777777" w:rsidR="001C3B8A" w:rsidRDefault="001C3B8A" w:rsidP="00D659F1">
            <w:pPr>
              <w:jc w:val="center"/>
            </w:pPr>
            <w:r>
              <w:t>2047</w:t>
            </w:r>
          </w:p>
        </w:tc>
        <w:tc>
          <w:tcPr>
            <w:tcW w:w="1541" w:type="dxa"/>
            <w:tcBorders>
              <w:top w:val="single" w:sz="4" w:space="0" w:color="auto"/>
              <w:left w:val="single" w:sz="4" w:space="0" w:color="auto"/>
              <w:bottom w:val="single" w:sz="4" w:space="0" w:color="auto"/>
              <w:right w:val="single" w:sz="4" w:space="0" w:color="auto"/>
            </w:tcBorders>
          </w:tcPr>
          <w:p w14:paraId="636D4602"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tcPr>
          <w:p w14:paraId="7223935D" w14:textId="77777777" w:rsidR="001C3B8A" w:rsidRDefault="001C3B8A" w:rsidP="00D659F1">
            <w:pPr>
              <w:jc w:val="center"/>
            </w:pPr>
            <w:r>
              <w:t>6.0%</w:t>
            </w:r>
          </w:p>
        </w:tc>
        <w:tc>
          <w:tcPr>
            <w:tcW w:w="1541" w:type="dxa"/>
            <w:tcBorders>
              <w:top w:val="single" w:sz="4" w:space="0" w:color="auto"/>
              <w:left w:val="single" w:sz="4" w:space="0" w:color="auto"/>
              <w:bottom w:val="single" w:sz="4" w:space="0" w:color="auto"/>
              <w:right w:val="single" w:sz="4" w:space="0" w:color="auto"/>
            </w:tcBorders>
          </w:tcPr>
          <w:p w14:paraId="59D9526A"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013BA1A0"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67B426ED" w14:textId="77777777" w:rsidR="001C3B8A" w:rsidRDefault="001C3B8A" w:rsidP="00D659F1">
            <w:pPr>
              <w:jc w:val="center"/>
            </w:pPr>
            <w:r>
              <w:t>0.0%</w:t>
            </w:r>
          </w:p>
        </w:tc>
        <w:tc>
          <w:tcPr>
            <w:tcW w:w="1542" w:type="dxa"/>
          </w:tcPr>
          <w:p w14:paraId="05464DF6" w14:textId="77777777" w:rsidR="001C3B8A" w:rsidRDefault="001C3B8A" w:rsidP="00D659F1">
            <w:pPr>
              <w:jc w:val="center"/>
            </w:pPr>
            <w:r>
              <w:t>64.1%</w:t>
            </w:r>
          </w:p>
        </w:tc>
      </w:tr>
      <w:tr w:rsidR="001C3B8A" w14:paraId="43E8C249" w14:textId="77777777" w:rsidTr="00D659F1">
        <w:trPr>
          <w:jc w:val="center"/>
        </w:trPr>
        <w:tc>
          <w:tcPr>
            <w:tcW w:w="1541" w:type="dxa"/>
          </w:tcPr>
          <w:p w14:paraId="5304D2E2" w14:textId="77777777" w:rsidR="001C3B8A" w:rsidRDefault="001C3B8A" w:rsidP="00D659F1">
            <w:pPr>
              <w:jc w:val="center"/>
            </w:pPr>
            <w:r>
              <w:t>2048</w:t>
            </w:r>
          </w:p>
        </w:tc>
        <w:tc>
          <w:tcPr>
            <w:tcW w:w="1541" w:type="dxa"/>
            <w:tcBorders>
              <w:top w:val="single" w:sz="4" w:space="0" w:color="auto"/>
              <w:left w:val="single" w:sz="4" w:space="0" w:color="auto"/>
              <w:bottom w:val="single" w:sz="4" w:space="0" w:color="auto"/>
              <w:right w:val="single" w:sz="4" w:space="0" w:color="auto"/>
            </w:tcBorders>
          </w:tcPr>
          <w:p w14:paraId="7B1B1C9D"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tcPr>
          <w:p w14:paraId="5A259E2E" w14:textId="77777777" w:rsidR="001C3B8A" w:rsidRDefault="001C3B8A" w:rsidP="00D659F1">
            <w:pPr>
              <w:jc w:val="center"/>
            </w:pPr>
            <w:r>
              <w:t>4.0%</w:t>
            </w:r>
          </w:p>
        </w:tc>
        <w:tc>
          <w:tcPr>
            <w:tcW w:w="1541" w:type="dxa"/>
            <w:tcBorders>
              <w:top w:val="single" w:sz="4" w:space="0" w:color="auto"/>
              <w:left w:val="single" w:sz="4" w:space="0" w:color="auto"/>
              <w:bottom w:val="single" w:sz="4" w:space="0" w:color="auto"/>
              <w:right w:val="single" w:sz="4" w:space="0" w:color="auto"/>
            </w:tcBorders>
          </w:tcPr>
          <w:p w14:paraId="70324152"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5300D53C"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62012EBE" w14:textId="77777777" w:rsidR="001C3B8A" w:rsidRDefault="001C3B8A" w:rsidP="00D659F1">
            <w:pPr>
              <w:jc w:val="center"/>
            </w:pPr>
            <w:r>
              <w:t>0.0%</w:t>
            </w:r>
          </w:p>
        </w:tc>
        <w:tc>
          <w:tcPr>
            <w:tcW w:w="1542" w:type="dxa"/>
          </w:tcPr>
          <w:p w14:paraId="626B27F5" w14:textId="77777777" w:rsidR="001C3B8A" w:rsidRDefault="001C3B8A" w:rsidP="00D659F1">
            <w:pPr>
              <w:jc w:val="center"/>
            </w:pPr>
            <w:r>
              <w:t>66.1%</w:t>
            </w:r>
          </w:p>
        </w:tc>
      </w:tr>
      <w:tr w:rsidR="001C3B8A" w14:paraId="273739D4" w14:textId="77777777" w:rsidTr="00D659F1">
        <w:trPr>
          <w:jc w:val="center"/>
        </w:trPr>
        <w:tc>
          <w:tcPr>
            <w:tcW w:w="1541" w:type="dxa"/>
          </w:tcPr>
          <w:p w14:paraId="53725405" w14:textId="77777777" w:rsidR="001C3B8A" w:rsidRDefault="001C3B8A" w:rsidP="00D659F1">
            <w:pPr>
              <w:jc w:val="center"/>
            </w:pPr>
            <w:r>
              <w:t>2049</w:t>
            </w:r>
          </w:p>
        </w:tc>
        <w:tc>
          <w:tcPr>
            <w:tcW w:w="1541" w:type="dxa"/>
            <w:tcBorders>
              <w:top w:val="single" w:sz="4" w:space="0" w:color="auto"/>
              <w:left w:val="single" w:sz="4" w:space="0" w:color="auto"/>
              <w:bottom w:val="single" w:sz="4" w:space="0" w:color="auto"/>
              <w:right w:val="single" w:sz="4" w:space="0" w:color="auto"/>
            </w:tcBorders>
          </w:tcPr>
          <w:p w14:paraId="640E1410"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tcPr>
          <w:p w14:paraId="0B249843" w14:textId="77777777" w:rsidR="001C3B8A" w:rsidRDefault="001C3B8A" w:rsidP="00D659F1">
            <w:pPr>
              <w:jc w:val="center"/>
            </w:pPr>
            <w:r>
              <w:t>2.0%</w:t>
            </w:r>
          </w:p>
        </w:tc>
        <w:tc>
          <w:tcPr>
            <w:tcW w:w="1541" w:type="dxa"/>
            <w:tcBorders>
              <w:top w:val="single" w:sz="4" w:space="0" w:color="auto"/>
              <w:left w:val="single" w:sz="4" w:space="0" w:color="auto"/>
              <w:bottom w:val="single" w:sz="4" w:space="0" w:color="auto"/>
              <w:right w:val="single" w:sz="4" w:space="0" w:color="auto"/>
            </w:tcBorders>
          </w:tcPr>
          <w:p w14:paraId="15F1EBC7"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tcPr>
          <w:p w14:paraId="7CEEF5ED"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tcPr>
          <w:p w14:paraId="765D6D9F" w14:textId="77777777" w:rsidR="001C3B8A" w:rsidRDefault="001C3B8A" w:rsidP="00D659F1">
            <w:pPr>
              <w:jc w:val="center"/>
            </w:pPr>
            <w:r>
              <w:t>0.0%</w:t>
            </w:r>
          </w:p>
        </w:tc>
        <w:tc>
          <w:tcPr>
            <w:tcW w:w="1542" w:type="dxa"/>
          </w:tcPr>
          <w:p w14:paraId="79435595" w14:textId="77777777" w:rsidR="001C3B8A" w:rsidRDefault="001C3B8A" w:rsidP="00D659F1">
            <w:pPr>
              <w:jc w:val="center"/>
            </w:pPr>
            <w:r>
              <w:t>68.1%</w:t>
            </w:r>
          </w:p>
        </w:tc>
      </w:tr>
      <w:tr w:rsidR="001C3B8A" w14:paraId="03258FC1" w14:textId="77777777" w:rsidTr="00D659F1">
        <w:trPr>
          <w:jc w:val="center"/>
        </w:trPr>
        <w:tc>
          <w:tcPr>
            <w:tcW w:w="1541" w:type="dxa"/>
            <w:shd w:val="clear" w:color="auto" w:fill="auto"/>
          </w:tcPr>
          <w:p w14:paraId="0CB247DF" w14:textId="77777777" w:rsidR="001C3B8A" w:rsidRDefault="001C3B8A" w:rsidP="00D659F1">
            <w:pPr>
              <w:jc w:val="center"/>
            </w:pPr>
            <w:r>
              <w:t>2050</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2E7BDEED" w14:textId="77777777" w:rsidR="001C3B8A" w:rsidRDefault="001C3B8A" w:rsidP="00D659F1">
            <w:pPr>
              <w:jc w:val="center"/>
            </w:pPr>
            <w:r>
              <w:t>0.0%</w:t>
            </w:r>
          </w:p>
        </w:tc>
        <w:tc>
          <w:tcPr>
            <w:tcW w:w="1541" w:type="dxa"/>
            <w:shd w:val="clear" w:color="auto" w:fill="auto"/>
          </w:tcPr>
          <w:p w14:paraId="6123E451" w14:textId="77777777" w:rsidR="001C3B8A" w:rsidRDefault="001C3B8A" w:rsidP="00D659F1">
            <w:pPr>
              <w:jc w:val="center"/>
            </w:pPr>
            <w:r>
              <w:t>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38FAD670" w14:textId="77777777" w:rsidR="001C3B8A" w:rsidRDefault="001C3B8A" w:rsidP="00D659F1">
            <w:pPr>
              <w:jc w:val="center"/>
            </w:pPr>
            <w:r>
              <w:t>0.0%</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0A014675" w14:textId="77777777" w:rsidR="001C3B8A" w:rsidRDefault="001C3B8A" w:rsidP="00D659F1">
            <w:pPr>
              <w:jc w:val="center"/>
            </w:pPr>
            <w:r>
              <w:t>29.9%</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6DF899B8" w14:textId="77777777" w:rsidR="001C3B8A" w:rsidRDefault="001C3B8A" w:rsidP="00D659F1">
            <w:pPr>
              <w:jc w:val="center"/>
            </w:pPr>
            <w:r>
              <w:t>0.0%</w:t>
            </w:r>
          </w:p>
        </w:tc>
        <w:tc>
          <w:tcPr>
            <w:tcW w:w="1542" w:type="dxa"/>
            <w:shd w:val="clear" w:color="auto" w:fill="auto"/>
          </w:tcPr>
          <w:p w14:paraId="752E0FEB" w14:textId="77777777" w:rsidR="001C3B8A" w:rsidRDefault="001C3B8A" w:rsidP="00D659F1">
            <w:pPr>
              <w:jc w:val="center"/>
            </w:pPr>
            <w:r>
              <w:t>70.1%</w:t>
            </w:r>
          </w:p>
        </w:tc>
      </w:tr>
      <w:bookmarkEnd w:id="60"/>
      <w:bookmarkEnd w:id="61"/>
    </w:tbl>
    <w:p w14:paraId="53088972" w14:textId="77777777" w:rsidR="001C3B8A" w:rsidRDefault="001C3B8A" w:rsidP="001C3B8A">
      <w:pPr>
        <w:pStyle w:val="Caption"/>
        <w:rPr>
          <w:rStyle w:val="Strong"/>
          <w:b w:val="0"/>
        </w:rPr>
      </w:pPr>
    </w:p>
    <w:p w14:paraId="098DCC50" w14:textId="77777777" w:rsidR="001C3B8A" w:rsidRPr="00025088" w:rsidRDefault="001C3B8A" w:rsidP="001C3B8A">
      <w:pPr>
        <w:pStyle w:val="Caption"/>
        <w:rPr>
          <w:rStyle w:val="Strong"/>
          <w:b w:val="0"/>
        </w:rPr>
      </w:pPr>
      <w:r w:rsidRPr="00025088">
        <w:rPr>
          <w:rStyle w:val="Strong"/>
        </w:rPr>
        <w:t>Table A-2: Non-GHG Emissions Reductions by Transition Scenario</w:t>
      </w:r>
    </w:p>
    <w:tbl>
      <w:tblPr>
        <w:tblStyle w:val="TableGrid"/>
        <w:tblW w:w="0" w:type="auto"/>
        <w:jc w:val="center"/>
        <w:tblInd w:w="0" w:type="dxa"/>
        <w:tblLook w:val="04A0" w:firstRow="1" w:lastRow="0" w:firstColumn="1" w:lastColumn="0" w:noHBand="0" w:noVBand="1"/>
      </w:tblPr>
      <w:tblGrid>
        <w:gridCol w:w="2158"/>
        <w:gridCol w:w="2158"/>
        <w:gridCol w:w="2158"/>
        <w:gridCol w:w="2158"/>
      </w:tblGrid>
      <w:tr w:rsidR="001C3B8A" w14:paraId="0635BC6F" w14:textId="77777777" w:rsidTr="00D659F1">
        <w:trPr>
          <w:jc w:val="center"/>
        </w:trPr>
        <w:tc>
          <w:tcPr>
            <w:tcW w:w="2158" w:type="dxa"/>
            <w:shd w:val="clear" w:color="auto" w:fill="2C3C77" w:themeFill="accent1"/>
          </w:tcPr>
          <w:p w14:paraId="1FE3C0C7" w14:textId="77777777" w:rsidR="001C3B8A" w:rsidRPr="0008511F" w:rsidRDefault="001C3B8A" w:rsidP="00D659F1">
            <w:pPr>
              <w:rPr>
                <w:b/>
                <w:bCs/>
                <w:color w:val="FFFFFF" w:themeColor="background1"/>
              </w:rPr>
            </w:pPr>
          </w:p>
        </w:tc>
        <w:tc>
          <w:tcPr>
            <w:tcW w:w="2158" w:type="dxa"/>
            <w:shd w:val="clear" w:color="auto" w:fill="2C3C77" w:themeFill="accent1"/>
          </w:tcPr>
          <w:p w14:paraId="7F67501B" w14:textId="77777777" w:rsidR="001C3B8A" w:rsidRPr="0008511F" w:rsidRDefault="001C3B8A" w:rsidP="00D659F1">
            <w:pPr>
              <w:rPr>
                <w:b/>
                <w:bCs/>
                <w:color w:val="FFFFFF" w:themeColor="background1"/>
              </w:rPr>
            </w:pPr>
            <w:r w:rsidRPr="0008511F">
              <w:rPr>
                <w:b/>
                <w:bCs/>
                <w:color w:val="FFFFFF" w:themeColor="background1"/>
              </w:rPr>
              <w:t>BEB</w:t>
            </w:r>
          </w:p>
        </w:tc>
        <w:tc>
          <w:tcPr>
            <w:tcW w:w="2158" w:type="dxa"/>
            <w:shd w:val="clear" w:color="auto" w:fill="2C3C77" w:themeFill="accent1"/>
          </w:tcPr>
          <w:p w14:paraId="39791664" w14:textId="77777777" w:rsidR="001C3B8A" w:rsidRPr="0008511F" w:rsidRDefault="001C3B8A" w:rsidP="00D659F1">
            <w:pPr>
              <w:rPr>
                <w:b/>
                <w:bCs/>
                <w:color w:val="FFFFFF" w:themeColor="background1"/>
              </w:rPr>
            </w:pPr>
            <w:r w:rsidRPr="0008511F">
              <w:rPr>
                <w:b/>
                <w:bCs/>
                <w:color w:val="FFFFFF" w:themeColor="background1"/>
              </w:rPr>
              <w:t>FCEB</w:t>
            </w:r>
          </w:p>
        </w:tc>
        <w:tc>
          <w:tcPr>
            <w:tcW w:w="2158" w:type="dxa"/>
            <w:shd w:val="clear" w:color="auto" w:fill="2C3C77" w:themeFill="accent1"/>
          </w:tcPr>
          <w:p w14:paraId="755CDA75" w14:textId="77777777" w:rsidR="001C3B8A" w:rsidRPr="0008511F" w:rsidRDefault="001C3B8A" w:rsidP="00D659F1">
            <w:pPr>
              <w:rPr>
                <w:b/>
                <w:bCs/>
                <w:color w:val="FFFFFF" w:themeColor="background1"/>
              </w:rPr>
            </w:pPr>
            <w:r w:rsidRPr="0008511F">
              <w:rPr>
                <w:b/>
                <w:bCs/>
                <w:color w:val="FFFFFF" w:themeColor="background1"/>
              </w:rPr>
              <w:t>CNG/RNG</w:t>
            </w:r>
          </w:p>
        </w:tc>
      </w:tr>
      <w:tr w:rsidR="001C3B8A" w14:paraId="7CAE6C27" w14:textId="77777777" w:rsidTr="00D659F1">
        <w:trPr>
          <w:jc w:val="center"/>
        </w:trPr>
        <w:tc>
          <w:tcPr>
            <w:tcW w:w="2158" w:type="dxa"/>
          </w:tcPr>
          <w:p w14:paraId="568AA09A" w14:textId="77777777" w:rsidR="001C3B8A" w:rsidRDefault="001C3B8A" w:rsidP="00D659F1">
            <w:bookmarkStart w:id="63" w:name="_Hlk133394772"/>
            <w:r>
              <w:t>CO</w:t>
            </w:r>
          </w:p>
        </w:tc>
        <w:tc>
          <w:tcPr>
            <w:tcW w:w="2158" w:type="dxa"/>
          </w:tcPr>
          <w:p w14:paraId="1F400937" w14:textId="77777777" w:rsidR="001C3B8A" w:rsidRDefault="001C3B8A" w:rsidP="00D659F1">
            <w:r>
              <w:t>-100%</w:t>
            </w:r>
          </w:p>
        </w:tc>
        <w:tc>
          <w:tcPr>
            <w:tcW w:w="2158" w:type="dxa"/>
          </w:tcPr>
          <w:p w14:paraId="76AE5194" w14:textId="77777777" w:rsidR="001C3B8A" w:rsidRDefault="001C3B8A" w:rsidP="00D659F1">
            <w:r>
              <w:t>-100%</w:t>
            </w:r>
          </w:p>
        </w:tc>
        <w:tc>
          <w:tcPr>
            <w:tcW w:w="2158" w:type="dxa"/>
          </w:tcPr>
          <w:p w14:paraId="187C895D" w14:textId="77777777" w:rsidR="001C3B8A" w:rsidRDefault="001C3B8A" w:rsidP="00D659F1">
            <w:r>
              <w:t>1050.0%</w:t>
            </w:r>
          </w:p>
        </w:tc>
      </w:tr>
      <w:bookmarkEnd w:id="63"/>
      <w:tr w:rsidR="001C3B8A" w14:paraId="7B51A64F" w14:textId="77777777" w:rsidTr="00D659F1">
        <w:trPr>
          <w:jc w:val="center"/>
        </w:trPr>
        <w:tc>
          <w:tcPr>
            <w:tcW w:w="2158" w:type="dxa"/>
          </w:tcPr>
          <w:p w14:paraId="4A781D49" w14:textId="77777777" w:rsidR="001C3B8A" w:rsidRDefault="001C3B8A" w:rsidP="00D659F1">
            <w:r>
              <w:t>NO</w:t>
            </w:r>
            <w:r w:rsidRPr="00CD1456">
              <w:rPr>
                <w:vertAlign w:val="subscript"/>
              </w:rPr>
              <w:t>x</w:t>
            </w:r>
          </w:p>
        </w:tc>
        <w:tc>
          <w:tcPr>
            <w:tcW w:w="2158" w:type="dxa"/>
          </w:tcPr>
          <w:p w14:paraId="7D0862F1" w14:textId="77777777" w:rsidR="001C3B8A" w:rsidRDefault="001C3B8A" w:rsidP="00D659F1">
            <w:r>
              <w:t>-100%</w:t>
            </w:r>
          </w:p>
        </w:tc>
        <w:tc>
          <w:tcPr>
            <w:tcW w:w="2158" w:type="dxa"/>
          </w:tcPr>
          <w:p w14:paraId="45C8A732" w14:textId="77777777" w:rsidR="001C3B8A" w:rsidRDefault="001C3B8A" w:rsidP="00D659F1">
            <w:r>
              <w:t>-100%</w:t>
            </w:r>
          </w:p>
        </w:tc>
        <w:tc>
          <w:tcPr>
            <w:tcW w:w="2158" w:type="dxa"/>
          </w:tcPr>
          <w:p w14:paraId="3DC2F584" w14:textId="77777777" w:rsidR="001C3B8A" w:rsidRDefault="001C3B8A" w:rsidP="00D659F1">
            <w:r>
              <w:t>-95.0%</w:t>
            </w:r>
          </w:p>
        </w:tc>
      </w:tr>
      <w:tr w:rsidR="001C3B8A" w14:paraId="7A8957BE" w14:textId="77777777" w:rsidTr="00D659F1">
        <w:trPr>
          <w:jc w:val="center"/>
        </w:trPr>
        <w:tc>
          <w:tcPr>
            <w:tcW w:w="2158" w:type="dxa"/>
          </w:tcPr>
          <w:p w14:paraId="06663158" w14:textId="77777777" w:rsidR="001C3B8A" w:rsidRDefault="001C3B8A" w:rsidP="00D659F1">
            <w:r>
              <w:t>PM</w:t>
            </w:r>
            <w:r w:rsidRPr="00CD1456">
              <w:rPr>
                <w:vertAlign w:val="subscript"/>
              </w:rPr>
              <w:t>10</w:t>
            </w:r>
          </w:p>
        </w:tc>
        <w:tc>
          <w:tcPr>
            <w:tcW w:w="2158" w:type="dxa"/>
          </w:tcPr>
          <w:p w14:paraId="197FAE33" w14:textId="77777777" w:rsidR="001C3B8A" w:rsidRDefault="001C3B8A" w:rsidP="00D659F1">
            <w:r>
              <w:t>-4.4%</w:t>
            </w:r>
          </w:p>
        </w:tc>
        <w:tc>
          <w:tcPr>
            <w:tcW w:w="2158" w:type="dxa"/>
          </w:tcPr>
          <w:p w14:paraId="524A9AF7" w14:textId="77777777" w:rsidR="001C3B8A" w:rsidRDefault="001C3B8A" w:rsidP="00D659F1">
            <w:r>
              <w:t>-4.4%</w:t>
            </w:r>
          </w:p>
        </w:tc>
        <w:tc>
          <w:tcPr>
            <w:tcW w:w="2158" w:type="dxa"/>
          </w:tcPr>
          <w:p w14:paraId="1327D7AA" w14:textId="77777777" w:rsidR="001C3B8A" w:rsidRDefault="001C3B8A" w:rsidP="00D659F1">
            <w:r>
              <w:t>0.0%</w:t>
            </w:r>
          </w:p>
        </w:tc>
      </w:tr>
      <w:tr w:rsidR="001C3B8A" w14:paraId="05B6C6D7" w14:textId="77777777" w:rsidTr="00D659F1">
        <w:trPr>
          <w:jc w:val="center"/>
        </w:trPr>
        <w:tc>
          <w:tcPr>
            <w:tcW w:w="2158" w:type="dxa"/>
          </w:tcPr>
          <w:p w14:paraId="01F7FCB4" w14:textId="77777777" w:rsidR="001C3B8A" w:rsidRDefault="001C3B8A" w:rsidP="00D659F1">
            <w:r>
              <w:t>PM</w:t>
            </w:r>
            <w:r w:rsidRPr="00CD1456">
              <w:rPr>
                <w:vertAlign w:val="subscript"/>
              </w:rPr>
              <w:t>2.5</w:t>
            </w:r>
          </w:p>
        </w:tc>
        <w:tc>
          <w:tcPr>
            <w:tcW w:w="2158" w:type="dxa"/>
          </w:tcPr>
          <w:p w14:paraId="21A62F6D" w14:textId="77777777" w:rsidR="001C3B8A" w:rsidRDefault="001C3B8A" w:rsidP="00D659F1">
            <w:r>
              <w:t>-25.1%</w:t>
            </w:r>
          </w:p>
        </w:tc>
        <w:tc>
          <w:tcPr>
            <w:tcW w:w="2158" w:type="dxa"/>
          </w:tcPr>
          <w:p w14:paraId="7F763E9D" w14:textId="77777777" w:rsidR="001C3B8A" w:rsidRDefault="001C3B8A" w:rsidP="00D659F1">
            <w:r>
              <w:t>-25.1%</w:t>
            </w:r>
          </w:p>
        </w:tc>
        <w:tc>
          <w:tcPr>
            <w:tcW w:w="2158" w:type="dxa"/>
          </w:tcPr>
          <w:p w14:paraId="764D11F4" w14:textId="77777777" w:rsidR="001C3B8A" w:rsidRDefault="001C3B8A" w:rsidP="00D659F1">
            <w:r>
              <w:t>0.0%</w:t>
            </w:r>
          </w:p>
        </w:tc>
      </w:tr>
      <w:tr w:rsidR="001C3B8A" w14:paraId="32548A1E" w14:textId="77777777" w:rsidTr="00D659F1">
        <w:trPr>
          <w:jc w:val="center"/>
        </w:trPr>
        <w:tc>
          <w:tcPr>
            <w:tcW w:w="2158" w:type="dxa"/>
          </w:tcPr>
          <w:p w14:paraId="4FF6C9B2" w14:textId="77777777" w:rsidR="001C3B8A" w:rsidRDefault="001C3B8A" w:rsidP="00D659F1">
            <w:r>
              <w:t>VOC</w:t>
            </w:r>
          </w:p>
        </w:tc>
        <w:tc>
          <w:tcPr>
            <w:tcW w:w="2158" w:type="dxa"/>
          </w:tcPr>
          <w:p w14:paraId="49A49638" w14:textId="77777777" w:rsidR="001C3B8A" w:rsidRDefault="001C3B8A" w:rsidP="00D659F1">
            <w:r>
              <w:t>-100%</w:t>
            </w:r>
          </w:p>
        </w:tc>
        <w:tc>
          <w:tcPr>
            <w:tcW w:w="2158" w:type="dxa"/>
          </w:tcPr>
          <w:p w14:paraId="4A23B30B" w14:textId="77777777" w:rsidR="001C3B8A" w:rsidRDefault="001C3B8A" w:rsidP="00D659F1">
            <w:r>
              <w:t>-100%</w:t>
            </w:r>
          </w:p>
        </w:tc>
        <w:tc>
          <w:tcPr>
            <w:tcW w:w="2158" w:type="dxa"/>
          </w:tcPr>
          <w:p w14:paraId="56987886" w14:textId="77777777" w:rsidR="001C3B8A" w:rsidRDefault="001C3B8A" w:rsidP="00D659F1">
            <w:r>
              <w:t>-52.0%</w:t>
            </w:r>
          </w:p>
        </w:tc>
      </w:tr>
      <w:tr w:rsidR="001C3B8A" w14:paraId="3D3F1F89" w14:textId="77777777" w:rsidTr="00D659F1">
        <w:trPr>
          <w:jc w:val="center"/>
        </w:trPr>
        <w:tc>
          <w:tcPr>
            <w:tcW w:w="2158" w:type="dxa"/>
          </w:tcPr>
          <w:p w14:paraId="704367C7" w14:textId="77777777" w:rsidR="001C3B8A" w:rsidRDefault="001C3B8A" w:rsidP="00D659F1">
            <w:proofErr w:type="spellStart"/>
            <w:r>
              <w:t>SO</w:t>
            </w:r>
            <w:r w:rsidRPr="00CD1456">
              <w:rPr>
                <w:vertAlign w:val="subscript"/>
              </w:rPr>
              <w:t>x</w:t>
            </w:r>
            <w:proofErr w:type="spellEnd"/>
          </w:p>
        </w:tc>
        <w:tc>
          <w:tcPr>
            <w:tcW w:w="2158" w:type="dxa"/>
          </w:tcPr>
          <w:p w14:paraId="64F1370D" w14:textId="77777777" w:rsidR="001C3B8A" w:rsidRDefault="001C3B8A" w:rsidP="00D659F1">
            <w:r>
              <w:t>-100%</w:t>
            </w:r>
          </w:p>
        </w:tc>
        <w:tc>
          <w:tcPr>
            <w:tcW w:w="2158" w:type="dxa"/>
          </w:tcPr>
          <w:p w14:paraId="14D9CE02" w14:textId="77777777" w:rsidR="001C3B8A" w:rsidRDefault="001C3B8A" w:rsidP="00D659F1">
            <w:r>
              <w:t>-100%</w:t>
            </w:r>
          </w:p>
        </w:tc>
        <w:tc>
          <w:tcPr>
            <w:tcW w:w="2158" w:type="dxa"/>
          </w:tcPr>
          <w:p w14:paraId="02C0E5DE" w14:textId="77777777" w:rsidR="001C3B8A" w:rsidRDefault="001C3B8A" w:rsidP="00D659F1">
            <w:r>
              <w:t>-42.1%</w:t>
            </w:r>
          </w:p>
        </w:tc>
      </w:tr>
    </w:tbl>
    <w:p w14:paraId="6A9C54C7" w14:textId="77777777" w:rsidR="00F95FF9" w:rsidRDefault="00F95FF9" w:rsidP="001C3B8A"/>
    <w:sectPr w:rsidR="00F95FF9" w:rsidSect="00206151">
      <w:headerReference w:type="default" r:id="rId46"/>
      <w:footerReference w:type="default" r:id="rId47"/>
      <w:type w:val="continuous"/>
      <w:pgSz w:w="12240" w:h="15840"/>
      <w:pgMar w:top="180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E62F5" w14:textId="77777777" w:rsidR="00206151" w:rsidRDefault="00206151" w:rsidP="00206151">
      <w:pPr>
        <w:spacing w:after="0" w:line="240" w:lineRule="auto"/>
      </w:pPr>
      <w:r>
        <w:separator/>
      </w:r>
    </w:p>
  </w:endnote>
  <w:endnote w:type="continuationSeparator" w:id="0">
    <w:p w14:paraId="46C7A1CA" w14:textId="77777777" w:rsidR="00206151" w:rsidRDefault="00206151" w:rsidP="00206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1E9F" w14:textId="175BE84C" w:rsidR="00206151" w:rsidRDefault="00206151" w:rsidP="00206151">
    <w:pPr>
      <w:pStyle w:val="Footer"/>
      <w:jc w:val="right"/>
    </w:pPr>
    <w:r>
      <w:fldChar w:fldCharType="begin"/>
    </w:r>
    <w:r>
      <w:instrText xml:space="preserve"> DATE \@ "MMMM d, yyyy" </w:instrText>
    </w:r>
    <w:r>
      <w:fldChar w:fldCharType="separate"/>
    </w:r>
    <w:r w:rsidR="009060B1">
      <w:rPr>
        <w:noProof/>
      </w:rPr>
      <w:t>February 23, 2024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8910"/>
      <w:docPartObj>
        <w:docPartGallery w:val="Page Numbers (Bottom of Page)"/>
        <w:docPartUnique/>
      </w:docPartObj>
    </w:sdtPr>
    <w:sdtEndPr>
      <w:rPr>
        <w:noProof/>
      </w:rPr>
    </w:sdtEndPr>
    <w:sdtContent>
      <w:p w14:paraId="6205AF05" w14:textId="2ACC9B08" w:rsidR="00206151" w:rsidRDefault="00206151">
        <w:pPr>
          <w:pStyle w:val="Footer"/>
          <w:jc w:val="right"/>
        </w:pPr>
        <w:r>
          <w:rPr>
            <w:noProof/>
          </w:rPr>
          <w:drawing>
            <wp:anchor distT="0" distB="0" distL="114300" distR="114300" simplePos="0" relativeHeight="251661312" behindDoc="1" locked="0" layoutInCell="1" allowOverlap="1" wp14:anchorId="4D9A9D4E" wp14:editId="364AA1D4">
              <wp:simplePos x="0" y="0"/>
              <wp:positionH relativeFrom="column">
                <wp:posOffset>0</wp:posOffset>
              </wp:positionH>
              <wp:positionV relativeFrom="paragraph">
                <wp:posOffset>-21590</wp:posOffset>
              </wp:positionV>
              <wp:extent cx="609600" cy="371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27F4C576" w14:textId="3250E1F8" w:rsidR="00206151" w:rsidRDefault="00206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33BD8" w14:textId="77777777" w:rsidR="00206151" w:rsidRDefault="00206151" w:rsidP="00206151">
      <w:pPr>
        <w:spacing w:after="0" w:line="240" w:lineRule="auto"/>
      </w:pPr>
      <w:r>
        <w:separator/>
      </w:r>
    </w:p>
  </w:footnote>
  <w:footnote w:type="continuationSeparator" w:id="0">
    <w:p w14:paraId="5AFC55A0" w14:textId="77777777" w:rsidR="00206151" w:rsidRDefault="00206151" w:rsidP="00206151">
      <w:pPr>
        <w:spacing w:after="0" w:line="240" w:lineRule="auto"/>
      </w:pPr>
      <w:r>
        <w:continuationSeparator/>
      </w:r>
    </w:p>
  </w:footnote>
  <w:footnote w:id="1">
    <w:p w14:paraId="08838DF1" w14:textId="77777777" w:rsidR="00895D17" w:rsidRDefault="00895D17" w:rsidP="00895D17">
      <w:pPr>
        <w:pStyle w:val="FootnoteText"/>
      </w:pPr>
      <w:r>
        <w:rPr>
          <w:rStyle w:val="FootnoteReference"/>
        </w:rPr>
        <w:footnoteRef/>
      </w:r>
      <w:r>
        <w:t xml:space="preserve"> Useful Life Balance is dictated by the Federal Transit Administration for vehicle purchased with Federal funds. Vehicles are also subject to either a condition score for the asset and/or a minimum number of service miles to be eligible for replacement funding.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7F3E" w14:textId="77777777" w:rsidR="00206151" w:rsidRDefault="00206151">
    <w:pPr>
      <w:pStyle w:val="Header"/>
    </w:pPr>
    <w:r>
      <w:rPr>
        <w:noProof/>
      </w:rPr>
      <w:drawing>
        <wp:anchor distT="0" distB="0" distL="114300" distR="114300" simplePos="0" relativeHeight="251658240" behindDoc="1" locked="0" layoutInCell="1" allowOverlap="1" wp14:anchorId="517EF159" wp14:editId="421B6CB6">
          <wp:simplePos x="0" y="0"/>
          <wp:positionH relativeFrom="column">
            <wp:posOffset>-457200</wp:posOffset>
          </wp:positionH>
          <wp:positionV relativeFrom="paragraph">
            <wp:posOffset>-447675</wp:posOffset>
          </wp:positionV>
          <wp:extent cx="7771310" cy="10056990"/>
          <wp:effectExtent l="0" t="0" r="127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310" cy="10056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3740" w14:textId="5251E50A" w:rsidR="00206151" w:rsidRDefault="00206151">
    <w:pPr>
      <w:pStyle w:val="Header"/>
    </w:pPr>
    <w:r>
      <w:rPr>
        <w:noProof/>
      </w:rPr>
      <w:drawing>
        <wp:anchor distT="0" distB="0" distL="114300" distR="114300" simplePos="0" relativeHeight="251660288" behindDoc="1" locked="0" layoutInCell="1" allowOverlap="1" wp14:anchorId="7C417957" wp14:editId="25B70DCB">
          <wp:simplePos x="0" y="0"/>
          <wp:positionH relativeFrom="column">
            <wp:posOffset>-457200</wp:posOffset>
          </wp:positionH>
          <wp:positionV relativeFrom="paragraph">
            <wp:posOffset>-447675</wp:posOffset>
          </wp:positionV>
          <wp:extent cx="7771310" cy="10056990"/>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310" cy="10056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6E70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AF6BF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616C58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BFCEBF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E60C9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464346"/>
    <w:lvl w:ilvl="0">
      <w:start w:val="1"/>
      <w:numFmt w:val="bullet"/>
      <w:pStyle w:val="ListBullet4"/>
      <w:lvlText w:val=""/>
      <w:lvlJc w:val="left"/>
      <w:pPr>
        <w:ind w:left="1800" w:hanging="360"/>
      </w:pPr>
      <w:rPr>
        <w:rFonts w:ascii="Wingdings" w:hAnsi="Wingdings" w:hint="default"/>
        <w:color w:val="515151"/>
        <w:sz w:val="16"/>
      </w:rPr>
    </w:lvl>
  </w:abstractNum>
  <w:abstractNum w:abstractNumId="6" w15:restartNumberingAfterBreak="0">
    <w:nsid w:val="FFFFFF82"/>
    <w:multiLevelType w:val="singleLevel"/>
    <w:tmpl w:val="D8BE9490"/>
    <w:lvl w:ilvl="0">
      <w:start w:val="1"/>
      <w:numFmt w:val="bullet"/>
      <w:pStyle w:val="ListBullet3"/>
      <w:lvlText w:val=""/>
      <w:lvlJc w:val="left"/>
      <w:pPr>
        <w:ind w:left="1440" w:hanging="360"/>
      </w:pPr>
      <w:rPr>
        <w:rFonts w:ascii="Wingdings" w:hAnsi="Wingdings" w:hint="default"/>
        <w:color w:val="2C3C77" w:themeColor="accent1"/>
        <w:position w:val="0"/>
        <w:sz w:val="16"/>
      </w:rPr>
    </w:lvl>
  </w:abstractNum>
  <w:abstractNum w:abstractNumId="7" w15:restartNumberingAfterBreak="0">
    <w:nsid w:val="FFFFFF83"/>
    <w:multiLevelType w:val="singleLevel"/>
    <w:tmpl w:val="FFAC13AE"/>
    <w:lvl w:ilvl="0">
      <w:start w:val="1"/>
      <w:numFmt w:val="bullet"/>
      <w:pStyle w:val="ListBullet2"/>
      <w:lvlText w:val=""/>
      <w:lvlJc w:val="left"/>
      <w:pPr>
        <w:ind w:left="1080" w:hanging="360"/>
      </w:pPr>
      <w:rPr>
        <w:rFonts w:ascii="Wingdings" w:hAnsi="Wingdings" w:hint="default"/>
        <w:color w:val="515151"/>
        <w:sz w:val="16"/>
      </w:rPr>
    </w:lvl>
  </w:abstractNum>
  <w:abstractNum w:abstractNumId="8" w15:restartNumberingAfterBreak="0">
    <w:nsid w:val="FFFFFF88"/>
    <w:multiLevelType w:val="singleLevel"/>
    <w:tmpl w:val="F13407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069956"/>
    <w:lvl w:ilvl="0">
      <w:start w:val="1"/>
      <w:numFmt w:val="bullet"/>
      <w:pStyle w:val="ListBullet"/>
      <w:lvlText w:val=""/>
      <w:lvlJc w:val="left"/>
      <w:pPr>
        <w:ind w:left="720" w:hanging="360"/>
      </w:pPr>
      <w:rPr>
        <w:rFonts w:ascii="Wingdings" w:hAnsi="Wingdings" w:hint="default"/>
        <w:color w:val="2C3C77" w:themeColor="accent1"/>
        <w:position w:val="0"/>
        <w:sz w:val="16"/>
      </w:rPr>
    </w:lvl>
  </w:abstractNum>
  <w:abstractNum w:abstractNumId="10" w15:restartNumberingAfterBreak="0">
    <w:nsid w:val="01072A08"/>
    <w:multiLevelType w:val="hybridMultilevel"/>
    <w:tmpl w:val="27D0DB56"/>
    <w:lvl w:ilvl="0" w:tplc="9056B1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F51D1"/>
    <w:multiLevelType w:val="hybridMultilevel"/>
    <w:tmpl w:val="EE76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0C1DE4"/>
    <w:multiLevelType w:val="hybridMultilevel"/>
    <w:tmpl w:val="D4C2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F3729"/>
    <w:multiLevelType w:val="multilevel"/>
    <w:tmpl w:val="A060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6E0E02"/>
    <w:multiLevelType w:val="hybridMultilevel"/>
    <w:tmpl w:val="50681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54064"/>
    <w:multiLevelType w:val="hybridMultilevel"/>
    <w:tmpl w:val="F9CED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70CC9"/>
    <w:multiLevelType w:val="hybridMultilevel"/>
    <w:tmpl w:val="3962F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A5B2E"/>
    <w:multiLevelType w:val="hybridMultilevel"/>
    <w:tmpl w:val="1644B2A6"/>
    <w:lvl w:ilvl="0" w:tplc="1862D2B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6F27E4"/>
    <w:multiLevelType w:val="hybridMultilevel"/>
    <w:tmpl w:val="330E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BE123B"/>
    <w:multiLevelType w:val="hybridMultilevel"/>
    <w:tmpl w:val="9CB20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4A0EFE"/>
    <w:multiLevelType w:val="hybridMultilevel"/>
    <w:tmpl w:val="98744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402976"/>
    <w:multiLevelType w:val="hybridMultilevel"/>
    <w:tmpl w:val="7F127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5F1EE2"/>
    <w:multiLevelType w:val="hybridMultilevel"/>
    <w:tmpl w:val="77B8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8A5A43"/>
    <w:multiLevelType w:val="hybridMultilevel"/>
    <w:tmpl w:val="064AC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1593026">
    <w:abstractNumId w:val="17"/>
  </w:num>
  <w:num w:numId="2" w16cid:durableId="878934653">
    <w:abstractNumId w:val="9"/>
    <w:lvlOverride w:ilvl="0"/>
  </w:num>
  <w:num w:numId="3" w16cid:durableId="1775054348">
    <w:abstractNumId w:val="9"/>
  </w:num>
  <w:num w:numId="4" w16cid:durableId="1048139679">
    <w:abstractNumId w:val="7"/>
  </w:num>
  <w:num w:numId="5" w16cid:durableId="1120951365">
    <w:abstractNumId w:val="6"/>
  </w:num>
  <w:num w:numId="6" w16cid:durableId="87890930">
    <w:abstractNumId w:val="5"/>
  </w:num>
  <w:num w:numId="7" w16cid:durableId="1007177051">
    <w:abstractNumId w:val="4"/>
  </w:num>
  <w:num w:numId="8" w16cid:durableId="1481967714">
    <w:abstractNumId w:val="8"/>
  </w:num>
  <w:num w:numId="9" w16cid:durableId="919142906">
    <w:abstractNumId w:val="3"/>
  </w:num>
  <w:num w:numId="10" w16cid:durableId="355740125">
    <w:abstractNumId w:val="2"/>
  </w:num>
  <w:num w:numId="11" w16cid:durableId="1136141918">
    <w:abstractNumId w:val="1"/>
  </w:num>
  <w:num w:numId="12" w16cid:durableId="521817352">
    <w:abstractNumId w:val="0"/>
  </w:num>
  <w:num w:numId="13" w16cid:durableId="1982031411">
    <w:abstractNumId w:val="16"/>
  </w:num>
  <w:num w:numId="14" w16cid:durableId="1914317638">
    <w:abstractNumId w:val="20"/>
  </w:num>
  <w:num w:numId="15" w16cid:durableId="1665820111">
    <w:abstractNumId w:val="15"/>
  </w:num>
  <w:num w:numId="16" w16cid:durableId="1901407532">
    <w:abstractNumId w:val="18"/>
  </w:num>
  <w:num w:numId="17" w16cid:durableId="532111215">
    <w:abstractNumId w:val="11"/>
  </w:num>
  <w:num w:numId="18" w16cid:durableId="2114781273">
    <w:abstractNumId w:val="22"/>
  </w:num>
  <w:num w:numId="19" w16cid:durableId="1977753267">
    <w:abstractNumId w:val="21"/>
  </w:num>
  <w:num w:numId="20" w16cid:durableId="1810786787">
    <w:abstractNumId w:val="12"/>
  </w:num>
  <w:num w:numId="21" w16cid:durableId="1995210444">
    <w:abstractNumId w:val="13"/>
  </w:num>
  <w:num w:numId="22" w16cid:durableId="472599743">
    <w:abstractNumId w:val="23"/>
  </w:num>
  <w:num w:numId="23" w16cid:durableId="82142549">
    <w:abstractNumId w:val="14"/>
  </w:num>
  <w:num w:numId="24" w16cid:durableId="951978099">
    <w:abstractNumId w:val="10"/>
  </w:num>
  <w:num w:numId="25" w16cid:durableId="17159606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51"/>
    <w:rsid w:val="00081F43"/>
    <w:rsid w:val="000A75B0"/>
    <w:rsid w:val="000D4E54"/>
    <w:rsid w:val="001477AE"/>
    <w:rsid w:val="00150801"/>
    <w:rsid w:val="001C3B8A"/>
    <w:rsid w:val="001F5298"/>
    <w:rsid w:val="00202AF4"/>
    <w:rsid w:val="00206151"/>
    <w:rsid w:val="002127F4"/>
    <w:rsid w:val="002461A8"/>
    <w:rsid w:val="00247741"/>
    <w:rsid w:val="00261FB8"/>
    <w:rsid w:val="003B44A8"/>
    <w:rsid w:val="00404403"/>
    <w:rsid w:val="00445BAA"/>
    <w:rsid w:val="004552E9"/>
    <w:rsid w:val="00536384"/>
    <w:rsid w:val="005379F1"/>
    <w:rsid w:val="0054700C"/>
    <w:rsid w:val="006735E2"/>
    <w:rsid w:val="006B5EB1"/>
    <w:rsid w:val="006D43B4"/>
    <w:rsid w:val="00747CCE"/>
    <w:rsid w:val="00777B18"/>
    <w:rsid w:val="007F7F54"/>
    <w:rsid w:val="00866017"/>
    <w:rsid w:val="00895D17"/>
    <w:rsid w:val="008B6DAD"/>
    <w:rsid w:val="0090535F"/>
    <w:rsid w:val="009060B1"/>
    <w:rsid w:val="009672B6"/>
    <w:rsid w:val="009B2DDB"/>
    <w:rsid w:val="009E033F"/>
    <w:rsid w:val="009E1AD6"/>
    <w:rsid w:val="00A54240"/>
    <w:rsid w:val="00AB7120"/>
    <w:rsid w:val="00AC3DB2"/>
    <w:rsid w:val="00AE30E4"/>
    <w:rsid w:val="00B51989"/>
    <w:rsid w:val="00BB0AC5"/>
    <w:rsid w:val="00BC4B16"/>
    <w:rsid w:val="00C05905"/>
    <w:rsid w:val="00C337E6"/>
    <w:rsid w:val="00C72A63"/>
    <w:rsid w:val="00C84BCC"/>
    <w:rsid w:val="00C867DA"/>
    <w:rsid w:val="00D771B2"/>
    <w:rsid w:val="00D95D2B"/>
    <w:rsid w:val="00DD3B73"/>
    <w:rsid w:val="00ED279E"/>
    <w:rsid w:val="00EE2295"/>
    <w:rsid w:val="00F315D2"/>
    <w:rsid w:val="00F41D7B"/>
    <w:rsid w:val="00F460CE"/>
    <w:rsid w:val="00F95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43AB0B"/>
  <w15:chartTrackingRefBased/>
  <w15:docId w15:val="{A9DD8625-81EE-4D63-862B-20C8FE44F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BB0AC5"/>
    <w:pPr>
      <w:keepNext/>
      <w:keepLines/>
      <w:spacing w:before="240" w:after="0"/>
      <w:outlineLvl w:val="0"/>
    </w:pPr>
    <w:rPr>
      <w:rFonts w:asciiTheme="majorHAnsi" w:eastAsiaTheme="majorEastAsia" w:hAnsiTheme="majorHAnsi" w:cstheme="majorBidi"/>
      <w:color w:val="2C3C77"/>
      <w:sz w:val="32"/>
      <w:szCs w:val="32"/>
    </w:rPr>
  </w:style>
  <w:style w:type="paragraph" w:styleId="Heading2">
    <w:name w:val="heading 2"/>
    <w:basedOn w:val="Normal"/>
    <w:next w:val="Normal"/>
    <w:link w:val="Heading2Char"/>
    <w:uiPriority w:val="9"/>
    <w:unhideWhenUsed/>
    <w:qFormat/>
    <w:rsid w:val="00BB0AC5"/>
    <w:pPr>
      <w:keepNext/>
      <w:keepLines/>
      <w:spacing w:before="40" w:after="0"/>
      <w:outlineLvl w:val="1"/>
    </w:pPr>
    <w:rPr>
      <w:rFonts w:asciiTheme="majorHAnsi" w:eastAsiaTheme="majorEastAsia" w:hAnsiTheme="majorHAnsi" w:cstheme="majorBidi"/>
      <w:color w:val="1793C9"/>
      <w:sz w:val="26"/>
      <w:szCs w:val="26"/>
    </w:rPr>
  </w:style>
  <w:style w:type="paragraph" w:styleId="Heading3">
    <w:name w:val="heading 3"/>
    <w:basedOn w:val="Normal"/>
    <w:next w:val="Normal"/>
    <w:link w:val="Heading3Char"/>
    <w:uiPriority w:val="9"/>
    <w:unhideWhenUsed/>
    <w:qFormat/>
    <w:rsid w:val="00BB0AC5"/>
    <w:pPr>
      <w:keepNext/>
      <w:keepLines/>
      <w:spacing w:before="40" w:after="0"/>
      <w:outlineLvl w:val="2"/>
    </w:pPr>
    <w:rPr>
      <w:rFonts w:asciiTheme="majorHAnsi" w:eastAsiaTheme="majorEastAsia" w:hAnsiTheme="majorHAnsi" w:cstheme="majorBidi"/>
      <w:color w:val="503A78"/>
      <w:sz w:val="24"/>
      <w:szCs w:val="24"/>
    </w:rPr>
  </w:style>
  <w:style w:type="paragraph" w:styleId="Heading4">
    <w:name w:val="heading 4"/>
    <w:basedOn w:val="Normal"/>
    <w:next w:val="Normal"/>
    <w:link w:val="Heading4Char"/>
    <w:uiPriority w:val="9"/>
    <w:unhideWhenUsed/>
    <w:qFormat/>
    <w:rsid w:val="00BB0AC5"/>
    <w:pPr>
      <w:keepNext/>
      <w:keepLines/>
      <w:spacing w:before="40" w:after="0"/>
      <w:outlineLvl w:val="3"/>
    </w:pPr>
    <w:rPr>
      <w:rFonts w:asciiTheme="majorHAnsi" w:eastAsiaTheme="majorEastAsia" w:hAnsiTheme="majorHAnsi" w:cstheme="majorBidi"/>
      <w:i/>
      <w:iCs/>
      <w:color w:val="537835"/>
      <w:sz w:val="24"/>
    </w:rPr>
  </w:style>
  <w:style w:type="paragraph" w:styleId="Heading5">
    <w:name w:val="heading 5"/>
    <w:basedOn w:val="Normal"/>
    <w:next w:val="Normal"/>
    <w:link w:val="Heading5Char"/>
    <w:uiPriority w:val="9"/>
    <w:unhideWhenUsed/>
    <w:qFormat/>
    <w:rsid w:val="00BB0AC5"/>
    <w:pPr>
      <w:keepNext/>
      <w:keepLines/>
      <w:spacing w:before="40" w:after="0"/>
      <w:outlineLvl w:val="4"/>
    </w:pPr>
    <w:rPr>
      <w:rFonts w:asciiTheme="majorHAnsi" w:eastAsiaTheme="majorEastAsia" w:hAnsiTheme="majorHAnsi" w:cstheme="majorBidi"/>
      <w:color w:val="90C35C"/>
    </w:rPr>
  </w:style>
  <w:style w:type="paragraph" w:styleId="Heading6">
    <w:name w:val="heading 6"/>
    <w:basedOn w:val="Normal"/>
    <w:next w:val="Normal"/>
    <w:link w:val="Heading6Char"/>
    <w:uiPriority w:val="9"/>
    <w:unhideWhenUsed/>
    <w:rsid w:val="001C3B8A"/>
    <w:pPr>
      <w:keepLines/>
      <w:spacing w:before="200" w:after="0" w:line="276" w:lineRule="auto"/>
      <w:outlineLvl w:val="5"/>
    </w:pPr>
    <w:rPr>
      <w:rFonts w:asciiTheme="majorHAnsi" w:eastAsiaTheme="majorEastAsia" w:hAnsiTheme="majorHAnsi" w:cstheme="majorBidi"/>
      <w:i/>
      <w:iCs/>
      <w:color w:val="2C3C77" w:themeColor="accent1"/>
      <w:sz w:val="20"/>
    </w:rPr>
  </w:style>
  <w:style w:type="paragraph" w:styleId="Heading7">
    <w:name w:val="heading 7"/>
    <w:basedOn w:val="Normal"/>
    <w:next w:val="Normal"/>
    <w:link w:val="Heading7Char"/>
    <w:uiPriority w:val="9"/>
    <w:unhideWhenUsed/>
    <w:rsid w:val="001C3B8A"/>
    <w:pPr>
      <w:keepLines/>
      <w:spacing w:before="200" w:after="0" w:line="276" w:lineRule="auto"/>
      <w:outlineLvl w:val="6"/>
    </w:pPr>
    <w:rPr>
      <w:rFonts w:asciiTheme="majorHAnsi" w:eastAsiaTheme="majorEastAsia" w:hAnsiTheme="majorHAnsi" w:cstheme="majorBidi"/>
      <w:i/>
      <w:iCs/>
      <w:color w:val="767171" w:themeColor="background2" w:themeShade="80"/>
      <w:sz w:val="20"/>
    </w:rPr>
  </w:style>
  <w:style w:type="paragraph" w:styleId="Heading8">
    <w:name w:val="heading 8"/>
    <w:basedOn w:val="Normal"/>
    <w:next w:val="Normal"/>
    <w:link w:val="Heading8Char"/>
    <w:uiPriority w:val="9"/>
    <w:unhideWhenUsed/>
    <w:rsid w:val="001C3B8A"/>
    <w:pPr>
      <w:keepLines/>
      <w:spacing w:before="200" w:after="0" w:line="276" w:lineRule="auto"/>
      <w:outlineLvl w:val="7"/>
    </w:pPr>
    <w:rPr>
      <w:rFonts w:asciiTheme="majorHAnsi" w:eastAsiaTheme="majorEastAsia" w:hAnsiTheme="majorHAnsi" w:cstheme="majorBidi"/>
      <w:color w:val="767171" w:themeColor="background2" w:themeShade="80"/>
      <w:sz w:val="20"/>
      <w:szCs w:val="20"/>
    </w:rPr>
  </w:style>
  <w:style w:type="paragraph" w:styleId="Heading9">
    <w:name w:val="heading 9"/>
    <w:basedOn w:val="Normal"/>
    <w:next w:val="Normal"/>
    <w:link w:val="Heading9Char"/>
    <w:uiPriority w:val="9"/>
    <w:unhideWhenUsed/>
    <w:rsid w:val="001C3B8A"/>
    <w:pPr>
      <w:keepNext/>
      <w:keepLines/>
      <w:spacing w:before="200" w:after="0" w:line="276" w:lineRule="auto"/>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
    <w:name w:val="Table Body"/>
    <w:basedOn w:val="NoSpacing"/>
    <w:link w:val="TableBodyChar"/>
    <w:qFormat/>
    <w:rsid w:val="00BB0AC5"/>
  </w:style>
  <w:style w:type="character" w:customStyle="1" w:styleId="TableBodyChar">
    <w:name w:val="Table Body Char"/>
    <w:basedOn w:val="NoSpacingChar"/>
    <w:link w:val="TableBody"/>
    <w:rsid w:val="00BB0AC5"/>
    <w:rPr>
      <w:rFonts w:ascii="Segoe UI Light" w:hAnsi="Segoe UI Light" w:cs="Segoe UI Light"/>
      <w:color w:val="3B3838" w:themeColor="background2" w:themeShade="40"/>
      <w:sz w:val="20"/>
      <w:szCs w:val="20"/>
    </w:rPr>
  </w:style>
  <w:style w:type="paragraph" w:styleId="NoSpacing">
    <w:name w:val="No Spacing"/>
    <w:link w:val="NoSpacingChar"/>
    <w:uiPriority w:val="1"/>
    <w:qFormat/>
    <w:rsid w:val="00BB0AC5"/>
    <w:pPr>
      <w:spacing w:after="0" w:line="240" w:lineRule="auto"/>
    </w:pPr>
    <w:rPr>
      <w:rFonts w:ascii="Segoe UI Light" w:hAnsi="Segoe UI Light" w:cs="Segoe UI Light"/>
      <w:color w:val="3B3838" w:themeColor="background2" w:themeShade="40"/>
      <w:sz w:val="20"/>
      <w:szCs w:val="20"/>
    </w:rPr>
  </w:style>
  <w:style w:type="paragraph" w:customStyle="1" w:styleId="PhotoDescription">
    <w:name w:val="Photo Description"/>
    <w:basedOn w:val="Normal"/>
    <w:link w:val="PhotoDescriptionChar"/>
    <w:qFormat/>
    <w:rsid w:val="00BB0AC5"/>
    <w:rPr>
      <w:rFonts w:ascii="Segoe UI Semilight" w:hAnsi="Segoe UI Semilight"/>
      <w:i/>
      <w:iCs/>
      <w:color w:val="3B3838" w:themeColor="background2" w:themeShade="40"/>
      <w:sz w:val="18"/>
      <w:szCs w:val="18"/>
    </w:rPr>
  </w:style>
  <w:style w:type="character" w:customStyle="1" w:styleId="PhotoDescriptionChar">
    <w:name w:val="Photo Description Char"/>
    <w:basedOn w:val="DefaultParagraphFont"/>
    <w:link w:val="PhotoDescription"/>
    <w:rsid w:val="00BB0AC5"/>
    <w:rPr>
      <w:rFonts w:ascii="Segoe UI Semilight" w:hAnsi="Segoe UI Semilight"/>
      <w:i/>
      <w:iCs/>
      <w:color w:val="3B3838" w:themeColor="background2" w:themeShade="40"/>
      <w:sz w:val="18"/>
      <w:szCs w:val="18"/>
    </w:rPr>
  </w:style>
  <w:style w:type="character" w:customStyle="1" w:styleId="Heading1Char">
    <w:name w:val="Heading 1 Char"/>
    <w:basedOn w:val="DefaultParagraphFont"/>
    <w:link w:val="Heading1"/>
    <w:uiPriority w:val="9"/>
    <w:rsid w:val="00BB0AC5"/>
    <w:rPr>
      <w:rFonts w:asciiTheme="majorHAnsi" w:eastAsiaTheme="majorEastAsia" w:hAnsiTheme="majorHAnsi" w:cstheme="majorBidi"/>
      <w:color w:val="2C3C77"/>
      <w:sz w:val="32"/>
      <w:szCs w:val="32"/>
    </w:rPr>
  </w:style>
  <w:style w:type="character" w:customStyle="1" w:styleId="Heading2Char">
    <w:name w:val="Heading 2 Char"/>
    <w:basedOn w:val="DefaultParagraphFont"/>
    <w:link w:val="Heading2"/>
    <w:uiPriority w:val="9"/>
    <w:rsid w:val="00BB0AC5"/>
    <w:rPr>
      <w:rFonts w:asciiTheme="majorHAnsi" w:eastAsiaTheme="majorEastAsia" w:hAnsiTheme="majorHAnsi" w:cstheme="majorBidi"/>
      <w:color w:val="1793C9"/>
      <w:sz w:val="26"/>
      <w:szCs w:val="26"/>
    </w:rPr>
  </w:style>
  <w:style w:type="character" w:customStyle="1" w:styleId="Heading3Char">
    <w:name w:val="Heading 3 Char"/>
    <w:basedOn w:val="DefaultParagraphFont"/>
    <w:link w:val="Heading3"/>
    <w:uiPriority w:val="9"/>
    <w:rsid w:val="00BB0AC5"/>
    <w:rPr>
      <w:rFonts w:asciiTheme="majorHAnsi" w:eastAsiaTheme="majorEastAsia" w:hAnsiTheme="majorHAnsi" w:cstheme="majorBidi"/>
      <w:color w:val="503A78"/>
      <w:sz w:val="24"/>
      <w:szCs w:val="24"/>
    </w:rPr>
  </w:style>
  <w:style w:type="character" w:customStyle="1" w:styleId="Heading4Char">
    <w:name w:val="Heading 4 Char"/>
    <w:basedOn w:val="DefaultParagraphFont"/>
    <w:link w:val="Heading4"/>
    <w:uiPriority w:val="9"/>
    <w:rsid w:val="00BB0AC5"/>
    <w:rPr>
      <w:rFonts w:asciiTheme="majorHAnsi" w:eastAsiaTheme="majorEastAsia" w:hAnsiTheme="majorHAnsi" w:cstheme="majorBidi"/>
      <w:i/>
      <w:iCs/>
      <w:color w:val="537835"/>
      <w:sz w:val="24"/>
    </w:rPr>
  </w:style>
  <w:style w:type="character" w:customStyle="1" w:styleId="Heading5Char">
    <w:name w:val="Heading 5 Char"/>
    <w:basedOn w:val="DefaultParagraphFont"/>
    <w:link w:val="Heading5"/>
    <w:uiPriority w:val="9"/>
    <w:rsid w:val="00BB0AC5"/>
    <w:rPr>
      <w:rFonts w:asciiTheme="majorHAnsi" w:eastAsiaTheme="majorEastAsia" w:hAnsiTheme="majorHAnsi" w:cstheme="majorBidi"/>
      <w:color w:val="90C35C"/>
    </w:rPr>
  </w:style>
  <w:style w:type="paragraph" w:styleId="Title">
    <w:name w:val="Title"/>
    <w:basedOn w:val="Normal"/>
    <w:next w:val="Normal"/>
    <w:link w:val="TitleChar"/>
    <w:uiPriority w:val="10"/>
    <w:qFormat/>
    <w:rsid w:val="00BB0AC5"/>
    <w:pPr>
      <w:spacing w:after="0" w:line="240" w:lineRule="auto"/>
      <w:contextualSpacing/>
    </w:pPr>
    <w:rPr>
      <w:rFonts w:asciiTheme="majorHAnsi" w:eastAsiaTheme="majorEastAsia" w:hAnsiTheme="majorHAnsi" w:cstheme="majorBidi"/>
      <w:color w:val="DCAF54"/>
      <w:spacing w:val="-10"/>
      <w:kern w:val="28"/>
      <w:sz w:val="56"/>
      <w:szCs w:val="56"/>
    </w:rPr>
  </w:style>
  <w:style w:type="character" w:customStyle="1" w:styleId="TitleChar">
    <w:name w:val="Title Char"/>
    <w:basedOn w:val="DefaultParagraphFont"/>
    <w:link w:val="Title"/>
    <w:uiPriority w:val="10"/>
    <w:rsid w:val="00BB0AC5"/>
    <w:rPr>
      <w:rFonts w:asciiTheme="majorHAnsi" w:eastAsiaTheme="majorEastAsia" w:hAnsiTheme="majorHAnsi" w:cstheme="majorBidi"/>
      <w:color w:val="DCAF54"/>
      <w:spacing w:val="-10"/>
      <w:kern w:val="28"/>
      <w:sz w:val="56"/>
      <w:szCs w:val="56"/>
    </w:rPr>
  </w:style>
  <w:style w:type="character" w:styleId="Emphasis">
    <w:name w:val="Emphasis"/>
    <w:basedOn w:val="DefaultParagraphFont"/>
    <w:uiPriority w:val="20"/>
    <w:qFormat/>
    <w:rsid w:val="00BB0AC5"/>
    <w:rPr>
      <w:b/>
      <w:i/>
      <w:iCs/>
    </w:rPr>
  </w:style>
  <w:style w:type="character" w:customStyle="1" w:styleId="NoSpacingChar">
    <w:name w:val="No Spacing Char"/>
    <w:basedOn w:val="DefaultParagraphFont"/>
    <w:link w:val="NoSpacing"/>
    <w:uiPriority w:val="1"/>
    <w:rsid w:val="00BB0AC5"/>
    <w:rPr>
      <w:rFonts w:ascii="Segoe UI Light" w:hAnsi="Segoe UI Light" w:cs="Segoe UI Light"/>
      <w:color w:val="3B3838" w:themeColor="background2" w:themeShade="40"/>
      <w:sz w:val="20"/>
      <w:szCs w:val="20"/>
    </w:rPr>
  </w:style>
  <w:style w:type="paragraph" w:styleId="ListParagraph">
    <w:name w:val="List Paragraph"/>
    <w:aliases w:val="Bullets"/>
    <w:basedOn w:val="Normal"/>
    <w:link w:val="ListParagraphChar"/>
    <w:uiPriority w:val="34"/>
    <w:qFormat/>
    <w:rsid w:val="00BB0AC5"/>
    <w:pPr>
      <w:spacing w:after="120" w:line="240" w:lineRule="auto"/>
      <w:ind w:left="1440" w:right="288" w:hanging="360"/>
      <w:contextualSpacing/>
    </w:pPr>
    <w:rPr>
      <w:rFonts w:ascii="Segoe UI Semilight" w:hAnsi="Segoe UI Semilight" w:cs="Segoe UI Semilight"/>
      <w:color w:val="3B3838" w:themeColor="background2" w:themeShade="40"/>
      <w:sz w:val="20"/>
    </w:rPr>
  </w:style>
  <w:style w:type="paragraph" w:styleId="Quote">
    <w:name w:val="Quote"/>
    <w:basedOn w:val="Normal"/>
    <w:next w:val="Normal"/>
    <w:link w:val="QuoteChar"/>
    <w:uiPriority w:val="29"/>
    <w:qFormat/>
    <w:rsid w:val="00BB0AC5"/>
    <w:pPr>
      <w:spacing w:before="200"/>
      <w:ind w:left="864" w:right="864"/>
      <w:jc w:val="center"/>
    </w:pPr>
    <w:rPr>
      <w:rFonts w:ascii="Segoe UI Historic" w:hAnsi="Segoe UI Historic" w:cs="Segoe UI Historic"/>
      <w:i/>
      <w:iCs/>
      <w:color w:val="1793C9"/>
      <w:sz w:val="20"/>
    </w:rPr>
  </w:style>
  <w:style w:type="character" w:customStyle="1" w:styleId="QuoteChar">
    <w:name w:val="Quote Char"/>
    <w:basedOn w:val="DefaultParagraphFont"/>
    <w:link w:val="Quote"/>
    <w:uiPriority w:val="29"/>
    <w:rsid w:val="00BB0AC5"/>
    <w:rPr>
      <w:rFonts w:ascii="Segoe UI Historic" w:hAnsi="Segoe UI Historic" w:cs="Segoe UI Historic"/>
      <w:i/>
      <w:iCs/>
      <w:color w:val="1793C9"/>
      <w:sz w:val="20"/>
    </w:rPr>
  </w:style>
  <w:style w:type="character" w:styleId="SubtleEmphasis">
    <w:name w:val="Subtle Emphasis"/>
    <w:basedOn w:val="DefaultParagraphFont"/>
    <w:uiPriority w:val="19"/>
    <w:qFormat/>
    <w:rsid w:val="00BB0AC5"/>
    <w:rPr>
      <w:i/>
      <w:iCs/>
      <w:color w:val="404040" w:themeColor="text1" w:themeTint="BF"/>
    </w:rPr>
  </w:style>
  <w:style w:type="paragraph" w:styleId="Header">
    <w:name w:val="header"/>
    <w:basedOn w:val="Normal"/>
    <w:link w:val="HeaderChar"/>
    <w:uiPriority w:val="99"/>
    <w:unhideWhenUsed/>
    <w:rsid w:val="00206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151"/>
  </w:style>
  <w:style w:type="paragraph" w:styleId="Footer">
    <w:name w:val="footer"/>
    <w:basedOn w:val="Normal"/>
    <w:link w:val="FooterChar"/>
    <w:uiPriority w:val="99"/>
    <w:unhideWhenUsed/>
    <w:rsid w:val="00206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151"/>
  </w:style>
  <w:style w:type="character" w:styleId="Hyperlink">
    <w:name w:val="Hyperlink"/>
    <w:basedOn w:val="DefaultParagraphFont"/>
    <w:uiPriority w:val="99"/>
    <w:unhideWhenUsed/>
    <w:rsid w:val="00895D17"/>
    <w:rPr>
      <w:color w:val="0000FF"/>
      <w:u w:val="single"/>
    </w:rPr>
  </w:style>
  <w:style w:type="paragraph" w:styleId="TOC1">
    <w:name w:val="toc 1"/>
    <w:basedOn w:val="Normal"/>
    <w:next w:val="Normal"/>
    <w:autoRedefine/>
    <w:uiPriority w:val="39"/>
    <w:unhideWhenUsed/>
    <w:rsid w:val="00895D17"/>
    <w:pPr>
      <w:spacing w:after="100" w:line="256" w:lineRule="auto"/>
    </w:pPr>
    <w:rPr>
      <w:rFonts w:asciiTheme="majorHAnsi" w:hAnsiTheme="majorHAnsi" w:cstheme="majorHAnsi"/>
    </w:rPr>
  </w:style>
  <w:style w:type="paragraph" w:styleId="TOC2">
    <w:name w:val="toc 2"/>
    <w:basedOn w:val="Normal"/>
    <w:next w:val="Normal"/>
    <w:autoRedefine/>
    <w:uiPriority w:val="39"/>
    <w:unhideWhenUsed/>
    <w:rsid w:val="00895D17"/>
    <w:pPr>
      <w:spacing w:after="100" w:line="256" w:lineRule="auto"/>
      <w:ind w:left="220"/>
    </w:pPr>
  </w:style>
  <w:style w:type="paragraph" w:styleId="TOC3">
    <w:name w:val="toc 3"/>
    <w:basedOn w:val="Normal"/>
    <w:next w:val="Normal"/>
    <w:autoRedefine/>
    <w:uiPriority w:val="39"/>
    <w:unhideWhenUsed/>
    <w:rsid w:val="00895D17"/>
    <w:pPr>
      <w:spacing w:after="100" w:line="256" w:lineRule="auto"/>
      <w:ind w:left="440"/>
    </w:pPr>
  </w:style>
  <w:style w:type="paragraph" w:styleId="FootnoteText">
    <w:name w:val="footnote text"/>
    <w:basedOn w:val="Normal"/>
    <w:link w:val="FootnoteTextChar"/>
    <w:uiPriority w:val="99"/>
    <w:semiHidden/>
    <w:unhideWhenUsed/>
    <w:rsid w:val="00895D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5D17"/>
    <w:rPr>
      <w:sz w:val="20"/>
      <w:szCs w:val="20"/>
    </w:rPr>
  </w:style>
  <w:style w:type="paragraph" w:styleId="Caption">
    <w:name w:val="caption"/>
    <w:basedOn w:val="Normal"/>
    <w:next w:val="Normal"/>
    <w:uiPriority w:val="35"/>
    <w:unhideWhenUsed/>
    <w:qFormat/>
    <w:rsid w:val="00895D1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95D17"/>
    <w:pPr>
      <w:spacing w:after="0" w:line="256" w:lineRule="auto"/>
    </w:pPr>
  </w:style>
  <w:style w:type="paragraph" w:styleId="ListBullet">
    <w:name w:val="List Bullet"/>
    <w:basedOn w:val="Normal"/>
    <w:uiPriority w:val="99"/>
    <w:unhideWhenUsed/>
    <w:qFormat/>
    <w:rsid w:val="00895D17"/>
    <w:pPr>
      <w:numPr>
        <w:numId w:val="2"/>
      </w:numPr>
      <w:spacing w:after="120" w:line="276" w:lineRule="auto"/>
      <w:contextualSpacing/>
    </w:pPr>
    <w:rPr>
      <w:color w:val="767171" w:themeColor="background2" w:themeShade="80"/>
      <w:sz w:val="20"/>
    </w:rPr>
  </w:style>
  <w:style w:type="paragraph" w:styleId="TOCHeading">
    <w:name w:val="TOC Heading"/>
    <w:basedOn w:val="Heading1"/>
    <w:next w:val="Normal"/>
    <w:uiPriority w:val="39"/>
    <w:semiHidden/>
    <w:unhideWhenUsed/>
    <w:qFormat/>
    <w:rsid w:val="00895D17"/>
    <w:pPr>
      <w:spacing w:line="276" w:lineRule="auto"/>
      <w:outlineLvl w:val="9"/>
    </w:pPr>
    <w:rPr>
      <w:color w:val="212C59" w:themeColor="accent1" w:themeShade="BF"/>
    </w:rPr>
  </w:style>
  <w:style w:type="character" w:styleId="FootnoteReference">
    <w:name w:val="footnote reference"/>
    <w:basedOn w:val="DefaultParagraphFont"/>
    <w:uiPriority w:val="99"/>
    <w:semiHidden/>
    <w:unhideWhenUsed/>
    <w:rsid w:val="00895D17"/>
    <w:rPr>
      <w:vertAlign w:val="superscript"/>
    </w:rPr>
  </w:style>
  <w:style w:type="table" w:styleId="TableGrid">
    <w:name w:val="Table Grid"/>
    <w:basedOn w:val="TableNormal"/>
    <w:uiPriority w:val="59"/>
    <w:rsid w:val="00895D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1C3B8A"/>
    <w:rPr>
      <w:rFonts w:asciiTheme="majorHAnsi" w:eastAsiaTheme="majorEastAsia" w:hAnsiTheme="majorHAnsi" w:cstheme="majorBidi"/>
      <w:i/>
      <w:iCs/>
      <w:color w:val="2C3C77" w:themeColor="accent1"/>
      <w:sz w:val="20"/>
    </w:rPr>
  </w:style>
  <w:style w:type="character" w:customStyle="1" w:styleId="Heading7Char">
    <w:name w:val="Heading 7 Char"/>
    <w:basedOn w:val="DefaultParagraphFont"/>
    <w:link w:val="Heading7"/>
    <w:uiPriority w:val="9"/>
    <w:rsid w:val="001C3B8A"/>
    <w:rPr>
      <w:rFonts w:asciiTheme="majorHAnsi" w:eastAsiaTheme="majorEastAsia" w:hAnsiTheme="majorHAnsi" w:cstheme="majorBidi"/>
      <w:i/>
      <w:iCs/>
      <w:color w:val="767171" w:themeColor="background2" w:themeShade="80"/>
      <w:sz w:val="20"/>
    </w:rPr>
  </w:style>
  <w:style w:type="character" w:customStyle="1" w:styleId="Heading8Char">
    <w:name w:val="Heading 8 Char"/>
    <w:basedOn w:val="DefaultParagraphFont"/>
    <w:link w:val="Heading8"/>
    <w:uiPriority w:val="9"/>
    <w:rsid w:val="001C3B8A"/>
    <w:rPr>
      <w:rFonts w:asciiTheme="majorHAnsi" w:eastAsiaTheme="majorEastAsia" w:hAnsiTheme="majorHAnsi" w:cstheme="majorBidi"/>
      <w:color w:val="767171" w:themeColor="background2" w:themeShade="80"/>
      <w:sz w:val="20"/>
      <w:szCs w:val="20"/>
    </w:rPr>
  </w:style>
  <w:style w:type="character" w:customStyle="1" w:styleId="Heading9Char">
    <w:name w:val="Heading 9 Char"/>
    <w:basedOn w:val="DefaultParagraphFont"/>
    <w:link w:val="Heading9"/>
    <w:uiPriority w:val="9"/>
    <w:rsid w:val="001C3B8A"/>
    <w:rPr>
      <w:rFonts w:asciiTheme="majorHAnsi" w:eastAsiaTheme="majorEastAsia" w:hAnsiTheme="majorHAnsi" w:cstheme="majorBidi"/>
      <w:i/>
      <w:iCs/>
      <w:sz w:val="20"/>
      <w:szCs w:val="20"/>
    </w:rPr>
  </w:style>
  <w:style w:type="paragraph" w:styleId="Bibliography">
    <w:name w:val="Bibliography"/>
    <w:basedOn w:val="Normal"/>
    <w:next w:val="Normal"/>
    <w:uiPriority w:val="37"/>
    <w:unhideWhenUsed/>
    <w:rsid w:val="001C3B8A"/>
  </w:style>
  <w:style w:type="table" w:styleId="GridTable4-Accent1">
    <w:name w:val="Grid Table 4 Accent 1"/>
    <w:basedOn w:val="TableNormal"/>
    <w:uiPriority w:val="49"/>
    <w:rsid w:val="001C3B8A"/>
    <w:pPr>
      <w:spacing w:after="0" w:line="240" w:lineRule="auto"/>
    </w:pPr>
    <w:tblPr>
      <w:tblStyleRowBandSize w:val="1"/>
      <w:tblStyleColBandSize w:val="1"/>
      <w:tblBorders>
        <w:top w:val="single" w:sz="4" w:space="0" w:color="667BC6" w:themeColor="accent1" w:themeTint="99"/>
        <w:left w:val="single" w:sz="4" w:space="0" w:color="667BC6" w:themeColor="accent1" w:themeTint="99"/>
        <w:bottom w:val="single" w:sz="4" w:space="0" w:color="667BC6" w:themeColor="accent1" w:themeTint="99"/>
        <w:right w:val="single" w:sz="4" w:space="0" w:color="667BC6" w:themeColor="accent1" w:themeTint="99"/>
        <w:insideH w:val="single" w:sz="4" w:space="0" w:color="667BC6" w:themeColor="accent1" w:themeTint="99"/>
        <w:insideV w:val="single" w:sz="4" w:space="0" w:color="667BC6" w:themeColor="accent1" w:themeTint="99"/>
      </w:tblBorders>
    </w:tblPr>
    <w:tblStylePr w:type="firstRow">
      <w:rPr>
        <w:b/>
        <w:bCs/>
        <w:color w:val="FFFFFF" w:themeColor="background1"/>
      </w:rPr>
      <w:tblPr/>
      <w:tcPr>
        <w:tcBorders>
          <w:top w:val="single" w:sz="4" w:space="0" w:color="2C3C77" w:themeColor="accent1"/>
          <w:left w:val="single" w:sz="4" w:space="0" w:color="2C3C77" w:themeColor="accent1"/>
          <w:bottom w:val="single" w:sz="4" w:space="0" w:color="2C3C77" w:themeColor="accent1"/>
          <w:right w:val="single" w:sz="4" w:space="0" w:color="2C3C77" w:themeColor="accent1"/>
          <w:insideH w:val="nil"/>
          <w:insideV w:val="nil"/>
        </w:tcBorders>
        <w:shd w:val="clear" w:color="auto" w:fill="2C3C77" w:themeFill="accent1"/>
      </w:tcPr>
    </w:tblStylePr>
    <w:tblStylePr w:type="lastRow">
      <w:rPr>
        <w:b/>
        <w:bCs/>
      </w:rPr>
      <w:tblPr/>
      <w:tcPr>
        <w:tcBorders>
          <w:top w:val="double" w:sz="4" w:space="0" w:color="2C3C77" w:themeColor="accent1"/>
        </w:tcBorders>
      </w:tcPr>
    </w:tblStylePr>
    <w:tblStylePr w:type="firstCol">
      <w:rPr>
        <w:b/>
        <w:bCs/>
      </w:rPr>
    </w:tblStylePr>
    <w:tblStylePr w:type="lastCol">
      <w:rPr>
        <w:b/>
        <w:bCs/>
      </w:rPr>
    </w:tblStylePr>
    <w:tblStylePr w:type="band1Vert">
      <w:tblPr/>
      <w:tcPr>
        <w:shd w:val="clear" w:color="auto" w:fill="CCD2EC" w:themeFill="accent1" w:themeFillTint="33"/>
      </w:tcPr>
    </w:tblStylePr>
    <w:tblStylePr w:type="band1Horz">
      <w:tblPr/>
      <w:tcPr>
        <w:shd w:val="clear" w:color="auto" w:fill="CCD2EC" w:themeFill="accent1" w:themeFillTint="33"/>
      </w:tcPr>
    </w:tblStylePr>
  </w:style>
  <w:style w:type="paragraph" w:styleId="ListBullet2">
    <w:name w:val="List Bullet 2"/>
    <w:basedOn w:val="ListBullet"/>
    <w:uiPriority w:val="99"/>
    <w:unhideWhenUsed/>
    <w:qFormat/>
    <w:rsid w:val="001C3B8A"/>
    <w:pPr>
      <w:numPr>
        <w:numId w:val="4"/>
      </w:numPr>
    </w:pPr>
  </w:style>
  <w:style w:type="paragraph" w:styleId="ListBullet3">
    <w:name w:val="List Bullet 3"/>
    <w:basedOn w:val="Normal"/>
    <w:next w:val="ListBullet"/>
    <w:uiPriority w:val="99"/>
    <w:unhideWhenUsed/>
    <w:qFormat/>
    <w:rsid w:val="001C3B8A"/>
    <w:pPr>
      <w:numPr>
        <w:numId w:val="5"/>
      </w:numPr>
      <w:spacing w:after="120" w:line="276" w:lineRule="auto"/>
      <w:contextualSpacing/>
    </w:pPr>
    <w:rPr>
      <w:color w:val="767171" w:themeColor="background2" w:themeShade="80"/>
      <w:sz w:val="20"/>
    </w:rPr>
  </w:style>
  <w:style w:type="paragraph" w:styleId="ListBullet4">
    <w:name w:val="List Bullet 4"/>
    <w:basedOn w:val="Normal"/>
    <w:next w:val="ListBullet"/>
    <w:uiPriority w:val="99"/>
    <w:unhideWhenUsed/>
    <w:qFormat/>
    <w:rsid w:val="001C3B8A"/>
    <w:pPr>
      <w:numPr>
        <w:numId w:val="6"/>
      </w:numPr>
      <w:spacing w:after="120" w:line="276" w:lineRule="auto"/>
      <w:contextualSpacing/>
    </w:pPr>
    <w:rPr>
      <w:color w:val="767171" w:themeColor="background2" w:themeShade="80"/>
      <w:sz w:val="20"/>
    </w:rPr>
  </w:style>
  <w:style w:type="character" w:styleId="Strong">
    <w:name w:val="Strong"/>
    <w:basedOn w:val="DefaultParagraphFont"/>
    <w:uiPriority w:val="22"/>
    <w:qFormat/>
    <w:rsid w:val="001C3B8A"/>
    <w:rPr>
      <w:b/>
      <w:bCs/>
      <w:color w:val="000000" w:themeColor="text1" w:themeShade="BF"/>
    </w:rPr>
  </w:style>
  <w:style w:type="character" w:styleId="IntenseEmphasis">
    <w:name w:val="Intense Emphasis"/>
    <w:basedOn w:val="DefaultParagraphFont"/>
    <w:uiPriority w:val="21"/>
    <w:qFormat/>
    <w:rsid w:val="001C3B8A"/>
    <w:rPr>
      <w:b/>
      <w:bCs/>
      <w:i/>
      <w:iCs/>
      <w:color w:val="2C3C77" w:themeColor="accent1"/>
    </w:rPr>
  </w:style>
  <w:style w:type="paragraph" w:styleId="BalloonText">
    <w:name w:val="Balloon Text"/>
    <w:basedOn w:val="Normal"/>
    <w:link w:val="BalloonTextChar"/>
    <w:uiPriority w:val="99"/>
    <w:semiHidden/>
    <w:unhideWhenUsed/>
    <w:rsid w:val="001C3B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B8A"/>
    <w:rPr>
      <w:rFonts w:ascii="Segoe UI" w:hAnsi="Segoe UI" w:cs="Segoe UI"/>
      <w:sz w:val="18"/>
      <w:szCs w:val="18"/>
    </w:rPr>
  </w:style>
  <w:style w:type="paragraph" w:styleId="BlockText">
    <w:name w:val="Block Text"/>
    <w:basedOn w:val="Normal"/>
    <w:uiPriority w:val="99"/>
    <w:semiHidden/>
    <w:unhideWhenUsed/>
    <w:rsid w:val="001C3B8A"/>
    <w:pPr>
      <w:pBdr>
        <w:top w:val="single" w:sz="2" w:space="10" w:color="2C3C77" w:themeColor="accent1"/>
        <w:left w:val="single" w:sz="2" w:space="10" w:color="2C3C77" w:themeColor="accent1"/>
        <w:bottom w:val="single" w:sz="2" w:space="10" w:color="2C3C77" w:themeColor="accent1"/>
        <w:right w:val="single" w:sz="2" w:space="10" w:color="2C3C77" w:themeColor="accent1"/>
      </w:pBdr>
      <w:spacing w:after="200" w:line="276" w:lineRule="auto"/>
      <w:ind w:left="1152" w:right="1152"/>
    </w:pPr>
    <w:rPr>
      <w:rFonts w:eastAsiaTheme="minorEastAsia"/>
      <w:i/>
      <w:iCs/>
      <w:color w:val="2C3C77" w:themeColor="accent1"/>
      <w:sz w:val="20"/>
    </w:rPr>
  </w:style>
  <w:style w:type="paragraph" w:styleId="BodyText">
    <w:name w:val="Body Text"/>
    <w:basedOn w:val="Normal"/>
    <w:link w:val="BodyTextChar"/>
    <w:uiPriority w:val="99"/>
    <w:semiHidden/>
    <w:unhideWhenUsed/>
    <w:rsid w:val="001C3B8A"/>
    <w:pPr>
      <w:spacing w:after="120" w:line="276" w:lineRule="auto"/>
    </w:pPr>
    <w:rPr>
      <w:sz w:val="20"/>
    </w:rPr>
  </w:style>
  <w:style w:type="character" w:customStyle="1" w:styleId="BodyTextChar">
    <w:name w:val="Body Text Char"/>
    <w:basedOn w:val="DefaultParagraphFont"/>
    <w:link w:val="BodyText"/>
    <w:uiPriority w:val="99"/>
    <w:semiHidden/>
    <w:rsid w:val="001C3B8A"/>
    <w:rPr>
      <w:sz w:val="20"/>
    </w:rPr>
  </w:style>
  <w:style w:type="paragraph" w:styleId="BodyText2">
    <w:name w:val="Body Text 2"/>
    <w:basedOn w:val="Normal"/>
    <w:link w:val="BodyText2Char"/>
    <w:uiPriority w:val="99"/>
    <w:semiHidden/>
    <w:unhideWhenUsed/>
    <w:rsid w:val="001C3B8A"/>
    <w:pPr>
      <w:spacing w:after="120" w:line="480" w:lineRule="auto"/>
    </w:pPr>
    <w:rPr>
      <w:sz w:val="20"/>
    </w:rPr>
  </w:style>
  <w:style w:type="character" w:customStyle="1" w:styleId="BodyText2Char">
    <w:name w:val="Body Text 2 Char"/>
    <w:basedOn w:val="DefaultParagraphFont"/>
    <w:link w:val="BodyText2"/>
    <w:uiPriority w:val="99"/>
    <w:semiHidden/>
    <w:rsid w:val="001C3B8A"/>
    <w:rPr>
      <w:sz w:val="20"/>
    </w:rPr>
  </w:style>
  <w:style w:type="paragraph" w:styleId="BodyText3">
    <w:name w:val="Body Text 3"/>
    <w:basedOn w:val="Normal"/>
    <w:link w:val="BodyText3Char"/>
    <w:uiPriority w:val="99"/>
    <w:semiHidden/>
    <w:unhideWhenUsed/>
    <w:rsid w:val="001C3B8A"/>
    <w:pPr>
      <w:spacing w:after="120" w:line="276" w:lineRule="auto"/>
    </w:pPr>
    <w:rPr>
      <w:sz w:val="16"/>
      <w:szCs w:val="16"/>
    </w:rPr>
  </w:style>
  <w:style w:type="character" w:customStyle="1" w:styleId="BodyText3Char">
    <w:name w:val="Body Text 3 Char"/>
    <w:basedOn w:val="DefaultParagraphFont"/>
    <w:link w:val="BodyText3"/>
    <w:uiPriority w:val="99"/>
    <w:semiHidden/>
    <w:rsid w:val="001C3B8A"/>
    <w:rPr>
      <w:sz w:val="16"/>
      <w:szCs w:val="16"/>
    </w:rPr>
  </w:style>
  <w:style w:type="paragraph" w:styleId="BodyTextFirstIndent">
    <w:name w:val="Body Text First Indent"/>
    <w:basedOn w:val="BodyText"/>
    <w:link w:val="BodyTextFirstIndentChar"/>
    <w:uiPriority w:val="99"/>
    <w:semiHidden/>
    <w:unhideWhenUsed/>
    <w:rsid w:val="001C3B8A"/>
    <w:pPr>
      <w:spacing w:after="200"/>
      <w:ind w:firstLine="360"/>
    </w:pPr>
  </w:style>
  <w:style w:type="character" w:customStyle="1" w:styleId="BodyTextFirstIndentChar">
    <w:name w:val="Body Text First Indent Char"/>
    <w:basedOn w:val="BodyTextChar"/>
    <w:link w:val="BodyTextFirstIndent"/>
    <w:uiPriority w:val="99"/>
    <w:semiHidden/>
    <w:rsid w:val="001C3B8A"/>
    <w:rPr>
      <w:sz w:val="20"/>
    </w:rPr>
  </w:style>
  <w:style w:type="paragraph" w:styleId="BodyTextIndent">
    <w:name w:val="Body Text Indent"/>
    <w:basedOn w:val="Normal"/>
    <w:link w:val="BodyTextIndentChar"/>
    <w:uiPriority w:val="99"/>
    <w:semiHidden/>
    <w:unhideWhenUsed/>
    <w:rsid w:val="001C3B8A"/>
    <w:pPr>
      <w:spacing w:after="120" w:line="276" w:lineRule="auto"/>
      <w:ind w:left="360"/>
    </w:pPr>
    <w:rPr>
      <w:sz w:val="20"/>
    </w:rPr>
  </w:style>
  <w:style w:type="character" w:customStyle="1" w:styleId="BodyTextIndentChar">
    <w:name w:val="Body Text Indent Char"/>
    <w:basedOn w:val="DefaultParagraphFont"/>
    <w:link w:val="BodyTextIndent"/>
    <w:uiPriority w:val="99"/>
    <w:semiHidden/>
    <w:rsid w:val="001C3B8A"/>
    <w:rPr>
      <w:sz w:val="20"/>
    </w:rPr>
  </w:style>
  <w:style w:type="paragraph" w:styleId="BodyTextFirstIndent2">
    <w:name w:val="Body Text First Indent 2"/>
    <w:basedOn w:val="BodyTextIndent"/>
    <w:link w:val="BodyTextFirstIndent2Char"/>
    <w:uiPriority w:val="99"/>
    <w:semiHidden/>
    <w:unhideWhenUsed/>
    <w:rsid w:val="001C3B8A"/>
    <w:pPr>
      <w:spacing w:after="200"/>
      <w:ind w:firstLine="360"/>
    </w:pPr>
  </w:style>
  <w:style w:type="character" w:customStyle="1" w:styleId="BodyTextFirstIndent2Char">
    <w:name w:val="Body Text First Indent 2 Char"/>
    <w:basedOn w:val="BodyTextIndentChar"/>
    <w:link w:val="BodyTextFirstIndent2"/>
    <w:uiPriority w:val="99"/>
    <w:semiHidden/>
    <w:rsid w:val="001C3B8A"/>
    <w:rPr>
      <w:sz w:val="20"/>
    </w:rPr>
  </w:style>
  <w:style w:type="paragraph" w:styleId="BodyTextIndent2">
    <w:name w:val="Body Text Indent 2"/>
    <w:basedOn w:val="Normal"/>
    <w:link w:val="BodyTextIndent2Char"/>
    <w:uiPriority w:val="99"/>
    <w:semiHidden/>
    <w:unhideWhenUsed/>
    <w:rsid w:val="001C3B8A"/>
    <w:pPr>
      <w:spacing w:after="120" w:line="480" w:lineRule="auto"/>
      <w:ind w:left="360"/>
    </w:pPr>
    <w:rPr>
      <w:sz w:val="20"/>
    </w:rPr>
  </w:style>
  <w:style w:type="character" w:customStyle="1" w:styleId="BodyTextIndent2Char">
    <w:name w:val="Body Text Indent 2 Char"/>
    <w:basedOn w:val="DefaultParagraphFont"/>
    <w:link w:val="BodyTextIndent2"/>
    <w:uiPriority w:val="99"/>
    <w:semiHidden/>
    <w:rsid w:val="001C3B8A"/>
    <w:rPr>
      <w:sz w:val="20"/>
    </w:rPr>
  </w:style>
  <w:style w:type="paragraph" w:styleId="BodyTextIndent3">
    <w:name w:val="Body Text Indent 3"/>
    <w:basedOn w:val="Normal"/>
    <w:link w:val="BodyTextIndent3Char"/>
    <w:uiPriority w:val="99"/>
    <w:semiHidden/>
    <w:unhideWhenUsed/>
    <w:rsid w:val="001C3B8A"/>
    <w:pPr>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1C3B8A"/>
    <w:rPr>
      <w:sz w:val="16"/>
      <w:szCs w:val="16"/>
    </w:rPr>
  </w:style>
  <w:style w:type="paragraph" w:styleId="Closing">
    <w:name w:val="Closing"/>
    <w:basedOn w:val="Normal"/>
    <w:link w:val="ClosingChar"/>
    <w:uiPriority w:val="99"/>
    <w:semiHidden/>
    <w:unhideWhenUsed/>
    <w:rsid w:val="001C3B8A"/>
    <w:pPr>
      <w:spacing w:after="0" w:line="240" w:lineRule="auto"/>
      <w:ind w:left="4320"/>
    </w:pPr>
    <w:rPr>
      <w:sz w:val="20"/>
    </w:rPr>
  </w:style>
  <w:style w:type="character" w:customStyle="1" w:styleId="ClosingChar">
    <w:name w:val="Closing Char"/>
    <w:basedOn w:val="DefaultParagraphFont"/>
    <w:link w:val="Closing"/>
    <w:uiPriority w:val="99"/>
    <w:semiHidden/>
    <w:rsid w:val="001C3B8A"/>
    <w:rPr>
      <w:sz w:val="20"/>
    </w:rPr>
  </w:style>
  <w:style w:type="paragraph" w:styleId="CommentText">
    <w:name w:val="annotation text"/>
    <w:basedOn w:val="Normal"/>
    <w:link w:val="CommentTextChar"/>
    <w:uiPriority w:val="99"/>
    <w:unhideWhenUsed/>
    <w:rsid w:val="001C3B8A"/>
    <w:pPr>
      <w:spacing w:after="200" w:line="240" w:lineRule="auto"/>
    </w:pPr>
    <w:rPr>
      <w:sz w:val="20"/>
      <w:szCs w:val="20"/>
    </w:rPr>
  </w:style>
  <w:style w:type="character" w:customStyle="1" w:styleId="CommentTextChar">
    <w:name w:val="Comment Text Char"/>
    <w:basedOn w:val="DefaultParagraphFont"/>
    <w:link w:val="CommentText"/>
    <w:uiPriority w:val="99"/>
    <w:rsid w:val="001C3B8A"/>
    <w:rPr>
      <w:sz w:val="20"/>
      <w:szCs w:val="20"/>
    </w:rPr>
  </w:style>
  <w:style w:type="paragraph" w:styleId="CommentSubject">
    <w:name w:val="annotation subject"/>
    <w:basedOn w:val="CommentText"/>
    <w:next w:val="CommentText"/>
    <w:link w:val="CommentSubjectChar"/>
    <w:uiPriority w:val="99"/>
    <w:semiHidden/>
    <w:unhideWhenUsed/>
    <w:rsid w:val="001C3B8A"/>
    <w:rPr>
      <w:b/>
      <w:bCs/>
    </w:rPr>
  </w:style>
  <w:style w:type="character" w:customStyle="1" w:styleId="CommentSubjectChar">
    <w:name w:val="Comment Subject Char"/>
    <w:basedOn w:val="CommentTextChar"/>
    <w:link w:val="CommentSubject"/>
    <w:uiPriority w:val="99"/>
    <w:semiHidden/>
    <w:rsid w:val="001C3B8A"/>
    <w:rPr>
      <w:b/>
      <w:bCs/>
      <w:sz w:val="20"/>
      <w:szCs w:val="20"/>
    </w:rPr>
  </w:style>
  <w:style w:type="paragraph" w:styleId="Date">
    <w:name w:val="Date"/>
    <w:basedOn w:val="Normal"/>
    <w:next w:val="Normal"/>
    <w:link w:val="DateChar"/>
    <w:uiPriority w:val="99"/>
    <w:semiHidden/>
    <w:unhideWhenUsed/>
    <w:rsid w:val="001C3B8A"/>
    <w:pPr>
      <w:spacing w:after="200" w:line="276" w:lineRule="auto"/>
    </w:pPr>
    <w:rPr>
      <w:sz w:val="20"/>
    </w:rPr>
  </w:style>
  <w:style w:type="character" w:customStyle="1" w:styleId="DateChar">
    <w:name w:val="Date Char"/>
    <w:basedOn w:val="DefaultParagraphFont"/>
    <w:link w:val="Date"/>
    <w:uiPriority w:val="99"/>
    <w:semiHidden/>
    <w:rsid w:val="001C3B8A"/>
    <w:rPr>
      <w:sz w:val="20"/>
    </w:rPr>
  </w:style>
  <w:style w:type="paragraph" w:styleId="DocumentMap">
    <w:name w:val="Document Map"/>
    <w:basedOn w:val="Normal"/>
    <w:link w:val="DocumentMapChar"/>
    <w:uiPriority w:val="99"/>
    <w:semiHidden/>
    <w:unhideWhenUsed/>
    <w:rsid w:val="001C3B8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C3B8A"/>
    <w:rPr>
      <w:rFonts w:ascii="Segoe UI" w:hAnsi="Segoe UI" w:cs="Segoe UI"/>
      <w:sz w:val="16"/>
      <w:szCs w:val="16"/>
    </w:rPr>
  </w:style>
  <w:style w:type="paragraph" w:styleId="E-mailSignature">
    <w:name w:val="E-mail Signature"/>
    <w:basedOn w:val="Normal"/>
    <w:link w:val="E-mailSignatureChar"/>
    <w:uiPriority w:val="99"/>
    <w:semiHidden/>
    <w:unhideWhenUsed/>
    <w:rsid w:val="001C3B8A"/>
    <w:pPr>
      <w:spacing w:after="0" w:line="240" w:lineRule="auto"/>
    </w:pPr>
    <w:rPr>
      <w:sz w:val="20"/>
    </w:rPr>
  </w:style>
  <w:style w:type="character" w:customStyle="1" w:styleId="E-mailSignatureChar">
    <w:name w:val="E-mail Signature Char"/>
    <w:basedOn w:val="DefaultParagraphFont"/>
    <w:link w:val="E-mailSignature"/>
    <w:uiPriority w:val="99"/>
    <w:semiHidden/>
    <w:rsid w:val="001C3B8A"/>
    <w:rPr>
      <w:sz w:val="20"/>
    </w:rPr>
  </w:style>
  <w:style w:type="paragraph" w:styleId="EndnoteText">
    <w:name w:val="endnote text"/>
    <w:basedOn w:val="Normal"/>
    <w:link w:val="EndnoteTextChar"/>
    <w:uiPriority w:val="99"/>
    <w:semiHidden/>
    <w:unhideWhenUsed/>
    <w:rsid w:val="001C3B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3B8A"/>
    <w:rPr>
      <w:sz w:val="20"/>
      <w:szCs w:val="20"/>
    </w:rPr>
  </w:style>
  <w:style w:type="paragraph" w:styleId="EnvelopeAddress">
    <w:name w:val="envelope address"/>
    <w:basedOn w:val="Normal"/>
    <w:uiPriority w:val="99"/>
    <w:semiHidden/>
    <w:unhideWhenUsed/>
    <w:rsid w:val="001C3B8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C3B8A"/>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1C3B8A"/>
    <w:pPr>
      <w:spacing w:after="0" w:line="240" w:lineRule="auto"/>
    </w:pPr>
    <w:rPr>
      <w:i/>
      <w:iCs/>
      <w:sz w:val="20"/>
    </w:rPr>
  </w:style>
  <w:style w:type="character" w:customStyle="1" w:styleId="HTMLAddressChar">
    <w:name w:val="HTML Address Char"/>
    <w:basedOn w:val="DefaultParagraphFont"/>
    <w:link w:val="HTMLAddress"/>
    <w:uiPriority w:val="99"/>
    <w:semiHidden/>
    <w:rsid w:val="001C3B8A"/>
    <w:rPr>
      <w:i/>
      <w:iCs/>
      <w:sz w:val="20"/>
    </w:rPr>
  </w:style>
  <w:style w:type="paragraph" w:styleId="HTMLPreformatted">
    <w:name w:val="HTML Preformatted"/>
    <w:basedOn w:val="Normal"/>
    <w:link w:val="HTMLPreformattedChar"/>
    <w:uiPriority w:val="99"/>
    <w:semiHidden/>
    <w:unhideWhenUsed/>
    <w:rsid w:val="001C3B8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C3B8A"/>
    <w:rPr>
      <w:rFonts w:ascii="Consolas" w:hAnsi="Consolas"/>
      <w:sz w:val="20"/>
      <w:szCs w:val="20"/>
    </w:rPr>
  </w:style>
  <w:style w:type="paragraph" w:styleId="Index1">
    <w:name w:val="index 1"/>
    <w:basedOn w:val="Normal"/>
    <w:next w:val="Normal"/>
    <w:autoRedefine/>
    <w:uiPriority w:val="99"/>
    <w:semiHidden/>
    <w:unhideWhenUsed/>
    <w:rsid w:val="001C3B8A"/>
    <w:pPr>
      <w:spacing w:after="0" w:line="240" w:lineRule="auto"/>
      <w:ind w:left="200" w:hanging="200"/>
    </w:pPr>
    <w:rPr>
      <w:sz w:val="20"/>
    </w:rPr>
  </w:style>
  <w:style w:type="paragraph" w:styleId="Index2">
    <w:name w:val="index 2"/>
    <w:basedOn w:val="Normal"/>
    <w:next w:val="Normal"/>
    <w:autoRedefine/>
    <w:uiPriority w:val="99"/>
    <w:semiHidden/>
    <w:unhideWhenUsed/>
    <w:rsid w:val="001C3B8A"/>
    <w:pPr>
      <w:spacing w:after="0" w:line="240" w:lineRule="auto"/>
      <w:ind w:left="400" w:hanging="200"/>
    </w:pPr>
    <w:rPr>
      <w:sz w:val="20"/>
    </w:rPr>
  </w:style>
  <w:style w:type="paragraph" w:styleId="Index3">
    <w:name w:val="index 3"/>
    <w:basedOn w:val="Normal"/>
    <w:next w:val="Normal"/>
    <w:autoRedefine/>
    <w:uiPriority w:val="99"/>
    <w:semiHidden/>
    <w:unhideWhenUsed/>
    <w:rsid w:val="001C3B8A"/>
    <w:pPr>
      <w:spacing w:after="0" w:line="240" w:lineRule="auto"/>
      <w:ind w:left="600" w:hanging="200"/>
    </w:pPr>
    <w:rPr>
      <w:sz w:val="20"/>
    </w:rPr>
  </w:style>
  <w:style w:type="paragraph" w:styleId="Index4">
    <w:name w:val="index 4"/>
    <w:basedOn w:val="Normal"/>
    <w:next w:val="Normal"/>
    <w:autoRedefine/>
    <w:uiPriority w:val="99"/>
    <w:semiHidden/>
    <w:unhideWhenUsed/>
    <w:rsid w:val="001C3B8A"/>
    <w:pPr>
      <w:spacing w:after="0" w:line="240" w:lineRule="auto"/>
      <w:ind w:left="800" w:hanging="200"/>
    </w:pPr>
    <w:rPr>
      <w:sz w:val="20"/>
    </w:rPr>
  </w:style>
  <w:style w:type="paragraph" w:styleId="Index5">
    <w:name w:val="index 5"/>
    <w:basedOn w:val="Normal"/>
    <w:next w:val="Normal"/>
    <w:autoRedefine/>
    <w:uiPriority w:val="99"/>
    <w:semiHidden/>
    <w:unhideWhenUsed/>
    <w:rsid w:val="001C3B8A"/>
    <w:pPr>
      <w:spacing w:after="0" w:line="240" w:lineRule="auto"/>
      <w:ind w:left="1000" w:hanging="200"/>
    </w:pPr>
    <w:rPr>
      <w:sz w:val="20"/>
    </w:rPr>
  </w:style>
  <w:style w:type="paragraph" w:styleId="Index6">
    <w:name w:val="index 6"/>
    <w:basedOn w:val="Normal"/>
    <w:next w:val="Normal"/>
    <w:autoRedefine/>
    <w:uiPriority w:val="99"/>
    <w:semiHidden/>
    <w:unhideWhenUsed/>
    <w:rsid w:val="001C3B8A"/>
    <w:pPr>
      <w:spacing w:after="0" w:line="240" w:lineRule="auto"/>
      <w:ind w:left="1200" w:hanging="200"/>
    </w:pPr>
    <w:rPr>
      <w:sz w:val="20"/>
    </w:rPr>
  </w:style>
  <w:style w:type="paragraph" w:styleId="Index7">
    <w:name w:val="index 7"/>
    <w:basedOn w:val="Normal"/>
    <w:next w:val="Normal"/>
    <w:autoRedefine/>
    <w:uiPriority w:val="99"/>
    <w:semiHidden/>
    <w:unhideWhenUsed/>
    <w:rsid w:val="001C3B8A"/>
    <w:pPr>
      <w:spacing w:after="0" w:line="240" w:lineRule="auto"/>
      <w:ind w:left="1400" w:hanging="200"/>
    </w:pPr>
    <w:rPr>
      <w:sz w:val="20"/>
    </w:rPr>
  </w:style>
  <w:style w:type="paragraph" w:styleId="Index8">
    <w:name w:val="index 8"/>
    <w:basedOn w:val="Normal"/>
    <w:next w:val="Normal"/>
    <w:autoRedefine/>
    <w:uiPriority w:val="99"/>
    <w:semiHidden/>
    <w:unhideWhenUsed/>
    <w:rsid w:val="001C3B8A"/>
    <w:pPr>
      <w:spacing w:after="0" w:line="240" w:lineRule="auto"/>
      <w:ind w:left="1600" w:hanging="200"/>
    </w:pPr>
    <w:rPr>
      <w:sz w:val="20"/>
    </w:rPr>
  </w:style>
  <w:style w:type="paragraph" w:styleId="Index9">
    <w:name w:val="index 9"/>
    <w:basedOn w:val="Normal"/>
    <w:next w:val="Normal"/>
    <w:autoRedefine/>
    <w:uiPriority w:val="99"/>
    <w:semiHidden/>
    <w:unhideWhenUsed/>
    <w:rsid w:val="001C3B8A"/>
    <w:pPr>
      <w:spacing w:after="0" w:line="240" w:lineRule="auto"/>
      <w:ind w:left="1800" w:hanging="200"/>
    </w:pPr>
    <w:rPr>
      <w:sz w:val="20"/>
    </w:rPr>
  </w:style>
  <w:style w:type="paragraph" w:styleId="IndexHeading">
    <w:name w:val="index heading"/>
    <w:basedOn w:val="Normal"/>
    <w:next w:val="Index1"/>
    <w:uiPriority w:val="99"/>
    <w:semiHidden/>
    <w:unhideWhenUsed/>
    <w:rsid w:val="001C3B8A"/>
    <w:pPr>
      <w:spacing w:after="200" w:line="276" w:lineRule="auto"/>
    </w:pPr>
    <w:rPr>
      <w:rFonts w:asciiTheme="majorHAnsi" w:eastAsiaTheme="majorEastAsia" w:hAnsiTheme="majorHAnsi" w:cstheme="majorBidi"/>
      <w:b/>
      <w:bCs/>
      <w:sz w:val="20"/>
    </w:rPr>
  </w:style>
  <w:style w:type="paragraph" w:styleId="IntenseQuote">
    <w:name w:val="Intense Quote"/>
    <w:basedOn w:val="Normal"/>
    <w:next w:val="Normal"/>
    <w:link w:val="IntenseQuoteChar"/>
    <w:uiPriority w:val="30"/>
    <w:rsid w:val="001C3B8A"/>
    <w:pPr>
      <w:pBdr>
        <w:top w:val="single" w:sz="4" w:space="10" w:color="2C3C77" w:themeColor="accent1"/>
        <w:bottom w:val="single" w:sz="4" w:space="10" w:color="2C3C77" w:themeColor="accent1"/>
      </w:pBdr>
      <w:spacing w:before="360" w:after="360" w:line="276" w:lineRule="auto"/>
      <w:ind w:left="864" w:right="864"/>
      <w:jc w:val="center"/>
    </w:pPr>
    <w:rPr>
      <w:i/>
      <w:iCs/>
      <w:color w:val="2C3C77" w:themeColor="accent1"/>
      <w:sz w:val="20"/>
    </w:rPr>
  </w:style>
  <w:style w:type="character" w:customStyle="1" w:styleId="IntenseQuoteChar">
    <w:name w:val="Intense Quote Char"/>
    <w:basedOn w:val="DefaultParagraphFont"/>
    <w:link w:val="IntenseQuote"/>
    <w:uiPriority w:val="30"/>
    <w:rsid w:val="001C3B8A"/>
    <w:rPr>
      <w:i/>
      <w:iCs/>
      <w:color w:val="2C3C77" w:themeColor="accent1"/>
      <w:sz w:val="20"/>
    </w:rPr>
  </w:style>
  <w:style w:type="paragraph" w:styleId="List">
    <w:name w:val="List"/>
    <w:basedOn w:val="Normal"/>
    <w:uiPriority w:val="99"/>
    <w:semiHidden/>
    <w:unhideWhenUsed/>
    <w:rsid w:val="001C3B8A"/>
    <w:pPr>
      <w:spacing w:after="200" w:line="276" w:lineRule="auto"/>
      <w:ind w:left="360" w:hanging="360"/>
      <w:contextualSpacing/>
    </w:pPr>
    <w:rPr>
      <w:sz w:val="20"/>
    </w:rPr>
  </w:style>
  <w:style w:type="paragraph" w:styleId="List2">
    <w:name w:val="List 2"/>
    <w:basedOn w:val="Normal"/>
    <w:uiPriority w:val="99"/>
    <w:semiHidden/>
    <w:unhideWhenUsed/>
    <w:rsid w:val="001C3B8A"/>
    <w:pPr>
      <w:spacing w:after="200" w:line="276" w:lineRule="auto"/>
      <w:ind w:left="720" w:hanging="360"/>
      <w:contextualSpacing/>
    </w:pPr>
    <w:rPr>
      <w:sz w:val="20"/>
    </w:rPr>
  </w:style>
  <w:style w:type="paragraph" w:styleId="List3">
    <w:name w:val="List 3"/>
    <w:basedOn w:val="Normal"/>
    <w:uiPriority w:val="99"/>
    <w:semiHidden/>
    <w:unhideWhenUsed/>
    <w:rsid w:val="001C3B8A"/>
    <w:pPr>
      <w:spacing w:after="200" w:line="276" w:lineRule="auto"/>
      <w:ind w:left="1080" w:hanging="360"/>
      <w:contextualSpacing/>
    </w:pPr>
    <w:rPr>
      <w:sz w:val="20"/>
    </w:rPr>
  </w:style>
  <w:style w:type="paragraph" w:styleId="List4">
    <w:name w:val="List 4"/>
    <w:basedOn w:val="Normal"/>
    <w:uiPriority w:val="99"/>
    <w:semiHidden/>
    <w:unhideWhenUsed/>
    <w:rsid w:val="001C3B8A"/>
    <w:pPr>
      <w:spacing w:after="200" w:line="276" w:lineRule="auto"/>
      <w:ind w:left="1440" w:hanging="360"/>
      <w:contextualSpacing/>
    </w:pPr>
    <w:rPr>
      <w:sz w:val="20"/>
    </w:rPr>
  </w:style>
  <w:style w:type="paragraph" w:styleId="List5">
    <w:name w:val="List 5"/>
    <w:basedOn w:val="Normal"/>
    <w:uiPriority w:val="99"/>
    <w:semiHidden/>
    <w:unhideWhenUsed/>
    <w:rsid w:val="001C3B8A"/>
    <w:pPr>
      <w:spacing w:after="200" w:line="276" w:lineRule="auto"/>
      <w:ind w:left="1800" w:hanging="360"/>
      <w:contextualSpacing/>
    </w:pPr>
    <w:rPr>
      <w:sz w:val="20"/>
    </w:rPr>
  </w:style>
  <w:style w:type="paragraph" w:styleId="ListBullet5">
    <w:name w:val="List Bullet 5"/>
    <w:basedOn w:val="Normal"/>
    <w:uiPriority w:val="99"/>
    <w:semiHidden/>
    <w:unhideWhenUsed/>
    <w:rsid w:val="001C3B8A"/>
    <w:pPr>
      <w:numPr>
        <w:numId w:val="7"/>
      </w:numPr>
      <w:spacing w:after="200" w:line="276" w:lineRule="auto"/>
      <w:contextualSpacing/>
    </w:pPr>
    <w:rPr>
      <w:sz w:val="20"/>
    </w:rPr>
  </w:style>
  <w:style w:type="paragraph" w:styleId="ListContinue">
    <w:name w:val="List Continue"/>
    <w:basedOn w:val="Normal"/>
    <w:uiPriority w:val="99"/>
    <w:semiHidden/>
    <w:unhideWhenUsed/>
    <w:rsid w:val="001C3B8A"/>
    <w:pPr>
      <w:spacing w:after="120" w:line="276" w:lineRule="auto"/>
      <w:ind w:left="360"/>
      <w:contextualSpacing/>
    </w:pPr>
    <w:rPr>
      <w:sz w:val="20"/>
    </w:rPr>
  </w:style>
  <w:style w:type="paragraph" w:styleId="ListContinue2">
    <w:name w:val="List Continue 2"/>
    <w:basedOn w:val="Normal"/>
    <w:uiPriority w:val="99"/>
    <w:semiHidden/>
    <w:unhideWhenUsed/>
    <w:rsid w:val="001C3B8A"/>
    <w:pPr>
      <w:spacing w:after="120" w:line="276" w:lineRule="auto"/>
      <w:ind w:left="720"/>
      <w:contextualSpacing/>
    </w:pPr>
    <w:rPr>
      <w:sz w:val="20"/>
    </w:rPr>
  </w:style>
  <w:style w:type="paragraph" w:styleId="ListContinue3">
    <w:name w:val="List Continue 3"/>
    <w:basedOn w:val="Normal"/>
    <w:uiPriority w:val="99"/>
    <w:semiHidden/>
    <w:unhideWhenUsed/>
    <w:rsid w:val="001C3B8A"/>
    <w:pPr>
      <w:spacing w:after="120" w:line="276" w:lineRule="auto"/>
      <w:ind w:left="1080"/>
      <w:contextualSpacing/>
    </w:pPr>
    <w:rPr>
      <w:sz w:val="20"/>
    </w:rPr>
  </w:style>
  <w:style w:type="paragraph" w:styleId="ListContinue4">
    <w:name w:val="List Continue 4"/>
    <w:basedOn w:val="Normal"/>
    <w:uiPriority w:val="99"/>
    <w:semiHidden/>
    <w:unhideWhenUsed/>
    <w:rsid w:val="001C3B8A"/>
    <w:pPr>
      <w:spacing w:after="120" w:line="276" w:lineRule="auto"/>
      <w:ind w:left="1440"/>
      <w:contextualSpacing/>
    </w:pPr>
    <w:rPr>
      <w:sz w:val="20"/>
    </w:rPr>
  </w:style>
  <w:style w:type="paragraph" w:styleId="ListContinue5">
    <w:name w:val="List Continue 5"/>
    <w:basedOn w:val="Normal"/>
    <w:uiPriority w:val="99"/>
    <w:semiHidden/>
    <w:unhideWhenUsed/>
    <w:rsid w:val="001C3B8A"/>
    <w:pPr>
      <w:spacing w:after="120" w:line="276" w:lineRule="auto"/>
      <w:ind w:left="1800"/>
      <w:contextualSpacing/>
    </w:pPr>
    <w:rPr>
      <w:sz w:val="20"/>
    </w:rPr>
  </w:style>
  <w:style w:type="paragraph" w:styleId="ListNumber">
    <w:name w:val="List Number"/>
    <w:basedOn w:val="Normal"/>
    <w:uiPriority w:val="99"/>
    <w:semiHidden/>
    <w:unhideWhenUsed/>
    <w:rsid w:val="001C3B8A"/>
    <w:pPr>
      <w:numPr>
        <w:numId w:val="8"/>
      </w:numPr>
      <w:spacing w:after="200" w:line="276" w:lineRule="auto"/>
      <w:contextualSpacing/>
    </w:pPr>
    <w:rPr>
      <w:sz w:val="20"/>
    </w:rPr>
  </w:style>
  <w:style w:type="paragraph" w:styleId="ListNumber2">
    <w:name w:val="List Number 2"/>
    <w:basedOn w:val="Normal"/>
    <w:uiPriority w:val="99"/>
    <w:semiHidden/>
    <w:unhideWhenUsed/>
    <w:rsid w:val="001C3B8A"/>
    <w:pPr>
      <w:numPr>
        <w:numId w:val="9"/>
      </w:numPr>
      <w:spacing w:after="200" w:line="276" w:lineRule="auto"/>
      <w:contextualSpacing/>
    </w:pPr>
    <w:rPr>
      <w:sz w:val="20"/>
    </w:rPr>
  </w:style>
  <w:style w:type="paragraph" w:styleId="ListNumber3">
    <w:name w:val="List Number 3"/>
    <w:basedOn w:val="Normal"/>
    <w:uiPriority w:val="99"/>
    <w:semiHidden/>
    <w:unhideWhenUsed/>
    <w:rsid w:val="001C3B8A"/>
    <w:pPr>
      <w:numPr>
        <w:numId w:val="10"/>
      </w:numPr>
      <w:spacing w:after="200" w:line="276" w:lineRule="auto"/>
      <w:contextualSpacing/>
    </w:pPr>
    <w:rPr>
      <w:sz w:val="20"/>
    </w:rPr>
  </w:style>
  <w:style w:type="paragraph" w:styleId="ListNumber4">
    <w:name w:val="List Number 4"/>
    <w:basedOn w:val="Normal"/>
    <w:uiPriority w:val="99"/>
    <w:semiHidden/>
    <w:unhideWhenUsed/>
    <w:rsid w:val="001C3B8A"/>
    <w:pPr>
      <w:numPr>
        <w:numId w:val="11"/>
      </w:numPr>
      <w:spacing w:after="200" w:line="276" w:lineRule="auto"/>
      <w:contextualSpacing/>
    </w:pPr>
    <w:rPr>
      <w:sz w:val="20"/>
    </w:rPr>
  </w:style>
  <w:style w:type="paragraph" w:styleId="ListNumber5">
    <w:name w:val="List Number 5"/>
    <w:basedOn w:val="Normal"/>
    <w:uiPriority w:val="99"/>
    <w:semiHidden/>
    <w:unhideWhenUsed/>
    <w:rsid w:val="001C3B8A"/>
    <w:pPr>
      <w:numPr>
        <w:numId w:val="12"/>
      </w:numPr>
      <w:spacing w:after="200" w:line="276" w:lineRule="auto"/>
      <w:contextualSpacing/>
    </w:pPr>
    <w:rPr>
      <w:sz w:val="20"/>
    </w:rPr>
  </w:style>
  <w:style w:type="paragraph" w:styleId="MacroText">
    <w:name w:val="macro"/>
    <w:link w:val="MacroTextChar"/>
    <w:uiPriority w:val="99"/>
    <w:semiHidden/>
    <w:unhideWhenUsed/>
    <w:rsid w:val="001C3B8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1C3B8A"/>
    <w:rPr>
      <w:rFonts w:ascii="Consolas" w:hAnsi="Consolas"/>
      <w:sz w:val="20"/>
      <w:szCs w:val="20"/>
    </w:rPr>
  </w:style>
  <w:style w:type="paragraph" w:styleId="MessageHeader">
    <w:name w:val="Message Header"/>
    <w:basedOn w:val="Normal"/>
    <w:link w:val="MessageHeaderChar"/>
    <w:uiPriority w:val="99"/>
    <w:semiHidden/>
    <w:unhideWhenUsed/>
    <w:rsid w:val="001C3B8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C3B8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1C3B8A"/>
    <w:pPr>
      <w:spacing w:after="200" w:line="276" w:lineRule="auto"/>
    </w:pPr>
    <w:rPr>
      <w:rFonts w:ascii="Times New Roman" w:hAnsi="Times New Roman" w:cs="Times New Roman"/>
      <w:sz w:val="24"/>
      <w:szCs w:val="24"/>
    </w:rPr>
  </w:style>
  <w:style w:type="paragraph" w:styleId="NormalIndent">
    <w:name w:val="Normal Indent"/>
    <w:basedOn w:val="Normal"/>
    <w:uiPriority w:val="99"/>
    <w:semiHidden/>
    <w:unhideWhenUsed/>
    <w:rsid w:val="001C3B8A"/>
    <w:pPr>
      <w:spacing w:after="200" w:line="276" w:lineRule="auto"/>
      <w:ind w:left="720"/>
    </w:pPr>
    <w:rPr>
      <w:sz w:val="20"/>
    </w:rPr>
  </w:style>
  <w:style w:type="paragraph" w:styleId="NoteHeading">
    <w:name w:val="Note Heading"/>
    <w:basedOn w:val="Normal"/>
    <w:next w:val="Normal"/>
    <w:link w:val="NoteHeadingChar"/>
    <w:uiPriority w:val="99"/>
    <w:semiHidden/>
    <w:unhideWhenUsed/>
    <w:rsid w:val="001C3B8A"/>
    <w:pPr>
      <w:spacing w:after="0" w:line="240" w:lineRule="auto"/>
    </w:pPr>
    <w:rPr>
      <w:sz w:val="20"/>
    </w:rPr>
  </w:style>
  <w:style w:type="character" w:customStyle="1" w:styleId="NoteHeadingChar">
    <w:name w:val="Note Heading Char"/>
    <w:basedOn w:val="DefaultParagraphFont"/>
    <w:link w:val="NoteHeading"/>
    <w:uiPriority w:val="99"/>
    <w:semiHidden/>
    <w:rsid w:val="001C3B8A"/>
    <w:rPr>
      <w:sz w:val="20"/>
    </w:rPr>
  </w:style>
  <w:style w:type="paragraph" w:styleId="PlainText">
    <w:name w:val="Plain Text"/>
    <w:basedOn w:val="Normal"/>
    <w:link w:val="PlainTextChar"/>
    <w:uiPriority w:val="99"/>
    <w:semiHidden/>
    <w:unhideWhenUsed/>
    <w:rsid w:val="001C3B8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C3B8A"/>
    <w:rPr>
      <w:rFonts w:ascii="Consolas" w:hAnsi="Consolas"/>
      <w:sz w:val="21"/>
      <w:szCs w:val="21"/>
    </w:rPr>
  </w:style>
  <w:style w:type="paragraph" w:styleId="Salutation">
    <w:name w:val="Salutation"/>
    <w:basedOn w:val="Normal"/>
    <w:next w:val="Normal"/>
    <w:link w:val="SalutationChar"/>
    <w:uiPriority w:val="99"/>
    <w:semiHidden/>
    <w:unhideWhenUsed/>
    <w:rsid w:val="001C3B8A"/>
    <w:pPr>
      <w:spacing w:after="200" w:line="276" w:lineRule="auto"/>
    </w:pPr>
    <w:rPr>
      <w:sz w:val="20"/>
    </w:rPr>
  </w:style>
  <w:style w:type="character" w:customStyle="1" w:styleId="SalutationChar">
    <w:name w:val="Salutation Char"/>
    <w:basedOn w:val="DefaultParagraphFont"/>
    <w:link w:val="Salutation"/>
    <w:uiPriority w:val="99"/>
    <w:semiHidden/>
    <w:rsid w:val="001C3B8A"/>
    <w:rPr>
      <w:sz w:val="20"/>
    </w:rPr>
  </w:style>
  <w:style w:type="paragraph" w:styleId="Signature">
    <w:name w:val="Signature"/>
    <w:basedOn w:val="Normal"/>
    <w:link w:val="SignatureChar"/>
    <w:uiPriority w:val="99"/>
    <w:semiHidden/>
    <w:unhideWhenUsed/>
    <w:rsid w:val="001C3B8A"/>
    <w:pPr>
      <w:spacing w:after="0" w:line="240" w:lineRule="auto"/>
      <w:ind w:left="4320"/>
    </w:pPr>
    <w:rPr>
      <w:sz w:val="20"/>
    </w:rPr>
  </w:style>
  <w:style w:type="character" w:customStyle="1" w:styleId="SignatureChar">
    <w:name w:val="Signature Char"/>
    <w:basedOn w:val="DefaultParagraphFont"/>
    <w:link w:val="Signature"/>
    <w:uiPriority w:val="99"/>
    <w:semiHidden/>
    <w:rsid w:val="001C3B8A"/>
    <w:rPr>
      <w:sz w:val="20"/>
    </w:rPr>
  </w:style>
  <w:style w:type="paragraph" w:styleId="Subtitle">
    <w:name w:val="Subtitle"/>
    <w:basedOn w:val="Normal"/>
    <w:next w:val="Normal"/>
    <w:link w:val="SubtitleChar"/>
    <w:uiPriority w:val="11"/>
    <w:rsid w:val="001C3B8A"/>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C3B8A"/>
    <w:rPr>
      <w:rFonts w:eastAsiaTheme="minorEastAsia"/>
      <w:color w:val="5A5A5A" w:themeColor="text1" w:themeTint="A5"/>
      <w:spacing w:val="15"/>
    </w:rPr>
  </w:style>
  <w:style w:type="character" w:styleId="UnresolvedMention">
    <w:name w:val="Unresolved Mention"/>
    <w:basedOn w:val="DefaultParagraphFont"/>
    <w:uiPriority w:val="99"/>
    <w:unhideWhenUsed/>
    <w:rsid w:val="001C3B8A"/>
    <w:rPr>
      <w:color w:val="605E5C"/>
      <w:shd w:val="clear" w:color="auto" w:fill="E1DFDD"/>
    </w:rPr>
  </w:style>
  <w:style w:type="character" w:customStyle="1" w:styleId="normaltextrun">
    <w:name w:val="normaltextrun"/>
    <w:basedOn w:val="DefaultParagraphFont"/>
    <w:rsid w:val="001C3B8A"/>
  </w:style>
  <w:style w:type="character" w:customStyle="1" w:styleId="eop">
    <w:name w:val="eop"/>
    <w:basedOn w:val="DefaultParagraphFont"/>
    <w:rsid w:val="001C3B8A"/>
  </w:style>
  <w:style w:type="paragraph" w:customStyle="1" w:styleId="paragraph">
    <w:name w:val="paragraph"/>
    <w:basedOn w:val="Normal"/>
    <w:rsid w:val="001C3B8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C3B8A"/>
    <w:rPr>
      <w:sz w:val="16"/>
      <w:szCs w:val="16"/>
    </w:rPr>
  </w:style>
  <w:style w:type="character" w:styleId="Mention">
    <w:name w:val="Mention"/>
    <w:basedOn w:val="DefaultParagraphFont"/>
    <w:uiPriority w:val="99"/>
    <w:unhideWhenUsed/>
    <w:rsid w:val="001C3B8A"/>
    <w:rPr>
      <w:color w:val="2B579A"/>
      <w:shd w:val="clear" w:color="auto" w:fill="E1DFDD"/>
    </w:rPr>
  </w:style>
  <w:style w:type="character" w:customStyle="1" w:styleId="ListParagraphChar">
    <w:name w:val="List Paragraph Char"/>
    <w:aliases w:val="Bullets Char"/>
    <w:basedOn w:val="DefaultParagraphFont"/>
    <w:link w:val="ListParagraph"/>
    <w:uiPriority w:val="34"/>
    <w:rsid w:val="001C3B8A"/>
    <w:rPr>
      <w:rFonts w:ascii="Segoe UI Semilight" w:hAnsi="Segoe UI Semilight" w:cs="Segoe UI Semilight"/>
      <w:color w:val="3B3838" w:themeColor="background2" w:themeShade="40"/>
      <w:sz w:val="20"/>
    </w:rPr>
  </w:style>
  <w:style w:type="character" w:styleId="FollowedHyperlink">
    <w:name w:val="FollowedHyperlink"/>
    <w:basedOn w:val="DefaultParagraphFont"/>
    <w:uiPriority w:val="99"/>
    <w:semiHidden/>
    <w:unhideWhenUsed/>
    <w:rsid w:val="001C3B8A"/>
    <w:rPr>
      <w:color w:val="DCAF54" w:themeColor="followedHyperlink"/>
      <w:u w:val="single"/>
    </w:rPr>
  </w:style>
  <w:style w:type="paragraph" w:styleId="Revision">
    <w:name w:val="Revision"/>
    <w:hidden/>
    <w:uiPriority w:val="99"/>
    <w:semiHidden/>
    <w:rsid w:val="001C3B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6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18"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26"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9"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21"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4"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42" Type="http://schemas.openxmlformats.org/officeDocument/2006/relationships/chart" Target="charts/chart3.xml"/><Relationship Id="rId47" Type="http://schemas.openxmlformats.org/officeDocument/2006/relationships/footer" Target="footer2.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29"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11"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24"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2"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7"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40" Type="http://schemas.openxmlformats.org/officeDocument/2006/relationships/chart" Target="charts/chart1.xml"/><Relationship Id="rId45" Type="http://schemas.openxmlformats.org/officeDocument/2006/relationships/hyperlink" Target="https://doi.org/10.1038/s43017-022-00387-5" TargetMode="External"/><Relationship Id="rId5" Type="http://schemas.openxmlformats.org/officeDocument/2006/relationships/webSettings" Target="webSettings.xml"/><Relationship Id="rId15"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23"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28"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6"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49" Type="http://schemas.openxmlformats.org/officeDocument/2006/relationships/theme" Target="theme/theme1.xml"/><Relationship Id="rId10"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19"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1" Type="http://schemas.openxmlformats.org/officeDocument/2006/relationships/hyperlink" Target="https://kimleyhorn.sharepoint.com/sites/CATFacilityandZEBStudy/Shared%20Documents/General/Production/6%20Environment%20and%20Health%20Assessment/CAT%20ZEB%20Feasibility_Environmental%20Health%20Study_20230505_draft.docx" TargetMode="External"/><Relationship Id="rId44" Type="http://schemas.openxmlformats.org/officeDocument/2006/relationships/hyperlink" Target="http://www.princeton.edu/news/2022/03/01/better-way-recycle-lithium-batteries-coming-soon-princeton-startup" TargetMode="Externa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22"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27"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0"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5"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43" Type="http://schemas.openxmlformats.org/officeDocument/2006/relationships/chart" Target="charts/chart4.xml"/><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17"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25"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3"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38"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46" Type="http://schemas.openxmlformats.org/officeDocument/2006/relationships/header" Target="header2.xml"/><Relationship Id="rId20" Type="http://schemas.openxmlformats.org/officeDocument/2006/relationships/hyperlink" Target="https://kimleyhorn.sharepoint.com/sites/CATFacilityandZEBStudy/Shared%20Documents/General/Production/6%20Environment%20and%20Health%20Assessment/CAT%20ZEB%20Feasibility_Environmental%20Health%20Study_20230927_Final.docx" TargetMode="External"/><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kimleyhorn.sharepoint.com/sites/CATFacilityandZEBStudy/Shared%20Documents/General/Production/2%20Feasibility%20Study/Copy%20of%20fleet%20replacement%20schedu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kimleyhorn.sharepoint.com/sites/CATFacilityandZEBStudy/Shared%20Documents/General/Production/2%20Feasibility%20Study/CAT%20Emissio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kimleyhorn.sharepoint.com/sites/CATFacilityandZEBStudy/Shared%20Documents/General/Production/2%20Feasibility%20Study/CAT%20Emission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'Fleet Transition Plan (ZEB)'!$A$26</c:f>
              <c:strCache>
                <c:ptCount val="1"/>
                <c:pt idx="0">
                  <c:v>Diesel</c:v>
                </c:pt>
              </c:strCache>
            </c:strRef>
          </c:tx>
          <c:spPr>
            <a:solidFill>
              <a:schemeClr val="accent2"/>
            </a:solidFill>
            <a:ln>
              <a:noFill/>
            </a:ln>
            <a:effectLst/>
          </c:spPr>
          <c:invertIfNegative val="0"/>
          <c:cat>
            <c:strRef>
              <c:f>'Fleet Transition Plan (ZEB)'!$B$23:$AE$24</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'Fleet Transition Plan (ZEB)'!$B$26:$AE$26</c:f>
              <c:numCache>
                <c:formatCode>General</c:formatCode>
                <c:ptCount val="30"/>
                <c:pt idx="0">
                  <c:v>23</c:v>
                </c:pt>
                <c:pt idx="1">
                  <c:v>24</c:v>
                </c:pt>
                <c:pt idx="2">
                  <c:v>30</c:v>
                </c:pt>
                <c:pt idx="3">
                  <c:v>41</c:v>
                </c:pt>
                <c:pt idx="4">
                  <c:v>45</c:v>
                </c:pt>
                <c:pt idx="5">
                  <c:v>50</c:v>
                </c:pt>
                <c:pt idx="6">
                  <c:v>53</c:v>
                </c:pt>
                <c:pt idx="7">
                  <c:v>53</c:v>
                </c:pt>
                <c:pt idx="8">
                  <c:v>53</c:v>
                </c:pt>
                <c:pt idx="9">
                  <c:v>53</c:v>
                </c:pt>
                <c:pt idx="10">
                  <c:v>52</c:v>
                </c:pt>
                <c:pt idx="11">
                  <c:v>52</c:v>
                </c:pt>
                <c:pt idx="12">
                  <c:v>52</c:v>
                </c:pt>
                <c:pt idx="13">
                  <c:v>46</c:v>
                </c:pt>
                <c:pt idx="14">
                  <c:v>36</c:v>
                </c:pt>
                <c:pt idx="15">
                  <c:v>21</c:v>
                </c:pt>
                <c:pt idx="16">
                  <c:v>17</c:v>
                </c:pt>
                <c:pt idx="17">
                  <c:v>10</c:v>
                </c:pt>
                <c:pt idx="18">
                  <c:v>3</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0-F469-499E-B2CC-45881EB1793F}"/>
            </c:ext>
          </c:extLst>
        </c:ser>
        <c:ser>
          <c:idx val="2"/>
          <c:order val="2"/>
          <c:tx>
            <c:strRef>
              <c:f>'Fleet Transition Plan (ZEB)'!$A$27</c:f>
              <c:strCache>
                <c:ptCount val="1"/>
                <c:pt idx="0">
                  <c:v>Hybrid</c:v>
                </c:pt>
              </c:strCache>
            </c:strRef>
          </c:tx>
          <c:spPr>
            <a:solidFill>
              <a:schemeClr val="accent3"/>
            </a:solidFill>
            <a:ln>
              <a:noFill/>
            </a:ln>
            <a:effectLst/>
          </c:spPr>
          <c:invertIfNegative val="0"/>
          <c:cat>
            <c:strRef>
              <c:f>'Fleet Transition Plan (ZEB)'!$B$23:$AE$24</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'Fleet Transition Plan (ZEB)'!$B$27:$AE$27</c:f>
              <c:numCache>
                <c:formatCode>General</c:formatCode>
                <c:ptCount val="30"/>
                <c:pt idx="0">
                  <c:v>10</c:v>
                </c:pt>
                <c:pt idx="1">
                  <c:v>10</c:v>
                </c:pt>
                <c:pt idx="2">
                  <c:v>8</c:v>
                </c:pt>
                <c:pt idx="3">
                  <c:v>1</c:v>
                </c:pt>
                <c:pt idx="4">
                  <c:v>1</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1-F469-499E-B2CC-45881EB1793F}"/>
            </c:ext>
          </c:extLst>
        </c:ser>
        <c:ser>
          <c:idx val="4"/>
          <c:order val="4"/>
          <c:tx>
            <c:v>Battery Electric</c:v>
          </c:tx>
          <c:spPr>
            <a:solidFill>
              <a:schemeClr val="accent5"/>
            </a:solidFill>
            <a:ln>
              <a:noFill/>
            </a:ln>
            <a:effectLst/>
          </c:spPr>
          <c:invertIfNegative val="0"/>
          <c:cat>
            <c:strRef>
              <c:f>'Fleet Transition Plan (ZEB)'!$B$23:$AE$24</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'Fleet Transition Plan (ZEB)'!$B$29:$AE$29</c:f>
              <c:numCache>
                <c:formatCode>General</c:formatCode>
                <c:ptCount val="30"/>
                <c:pt idx="0">
                  <c:v>0</c:v>
                </c:pt>
                <c:pt idx="1">
                  <c:v>0</c:v>
                </c:pt>
                <c:pt idx="2">
                  <c:v>0</c:v>
                </c:pt>
                <c:pt idx="3">
                  <c:v>0</c:v>
                </c:pt>
                <c:pt idx="4">
                  <c:v>2</c:v>
                </c:pt>
                <c:pt idx="5">
                  <c:v>2</c:v>
                </c:pt>
                <c:pt idx="6">
                  <c:v>2</c:v>
                </c:pt>
                <c:pt idx="7">
                  <c:v>2</c:v>
                </c:pt>
                <c:pt idx="8">
                  <c:v>2</c:v>
                </c:pt>
                <c:pt idx="9">
                  <c:v>2</c:v>
                </c:pt>
                <c:pt idx="10">
                  <c:v>2</c:v>
                </c:pt>
                <c:pt idx="11">
                  <c:v>2</c:v>
                </c:pt>
                <c:pt idx="12">
                  <c:v>2</c:v>
                </c:pt>
                <c:pt idx="13">
                  <c:v>2</c:v>
                </c:pt>
                <c:pt idx="14">
                  <c:v>2</c:v>
                </c:pt>
                <c:pt idx="15">
                  <c:v>2</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2-F469-499E-B2CC-45881EB1793F}"/>
            </c:ext>
          </c:extLst>
        </c:ser>
        <c:ser>
          <c:idx val="6"/>
          <c:order val="6"/>
          <c:tx>
            <c:v>Gasoline</c:v>
          </c:tx>
          <c:spPr>
            <a:solidFill>
              <a:schemeClr val="accent4"/>
            </a:solidFill>
            <a:ln>
              <a:noFill/>
            </a:ln>
            <a:effectLst/>
          </c:spPr>
          <c:invertIfNegative val="0"/>
          <c:cat>
            <c:strRef>
              <c:f>'Fleet Transition Plan (ZEB)'!$B$23:$AE$24</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'Fleet Transition Plan (ZEB)'!$B$31:$AE$31</c:f>
              <c:numCache>
                <c:formatCode>General</c:formatCode>
                <c:ptCount val="30"/>
                <c:pt idx="0">
                  <c:v>3</c:v>
                </c:pt>
                <c:pt idx="1">
                  <c:v>8</c:v>
                </c:pt>
                <c:pt idx="2">
                  <c:v>8</c:v>
                </c:pt>
                <c:pt idx="3">
                  <c:v>8</c:v>
                </c:pt>
                <c:pt idx="4">
                  <c:v>7</c:v>
                </c:pt>
                <c:pt idx="5">
                  <c:v>2</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3-F469-499E-B2CC-45881EB1793F}"/>
            </c:ext>
          </c:extLst>
        </c:ser>
        <c:ser>
          <c:idx val="7"/>
          <c:order val="7"/>
          <c:tx>
            <c:v>Alternative Fuel</c:v>
          </c:tx>
          <c:spPr>
            <a:solidFill>
              <a:schemeClr val="accent3">
                <a:lumMod val="50000"/>
              </a:schemeClr>
            </a:solidFill>
            <a:ln>
              <a:noFill/>
            </a:ln>
            <a:effectLst/>
          </c:spPr>
          <c:invertIfNegative val="0"/>
          <c:cat>
            <c:strRef>
              <c:f>'Fleet Transition Plan (ZEB)'!$B$23:$AE$24</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'Fleet Transition Plan (ZEB)'!$B$32:$AE$32</c:f>
              <c:numCache>
                <c:formatCode>General</c:formatCode>
                <c:ptCount val="30"/>
                <c:pt idx="0">
                  <c:v>0</c:v>
                </c:pt>
                <c:pt idx="1">
                  <c:v>0</c:v>
                </c:pt>
                <c:pt idx="2">
                  <c:v>0</c:v>
                </c:pt>
                <c:pt idx="3">
                  <c:v>0</c:v>
                </c:pt>
                <c:pt idx="4">
                  <c:v>0</c:v>
                </c:pt>
                <c:pt idx="5">
                  <c:v>0</c:v>
                </c:pt>
                <c:pt idx="6">
                  <c:v>0</c:v>
                </c:pt>
                <c:pt idx="7">
                  <c:v>3</c:v>
                </c:pt>
                <c:pt idx="8">
                  <c:v>3</c:v>
                </c:pt>
                <c:pt idx="9">
                  <c:v>3</c:v>
                </c:pt>
                <c:pt idx="10">
                  <c:v>4</c:v>
                </c:pt>
                <c:pt idx="11">
                  <c:v>4</c:v>
                </c:pt>
                <c:pt idx="12">
                  <c:v>4</c:v>
                </c:pt>
                <c:pt idx="13">
                  <c:v>10</c:v>
                </c:pt>
                <c:pt idx="14">
                  <c:v>20</c:v>
                </c:pt>
                <c:pt idx="15">
                  <c:v>35</c:v>
                </c:pt>
                <c:pt idx="16">
                  <c:v>41</c:v>
                </c:pt>
                <c:pt idx="17">
                  <c:v>48</c:v>
                </c:pt>
                <c:pt idx="18">
                  <c:v>55</c:v>
                </c:pt>
                <c:pt idx="19">
                  <c:v>58</c:v>
                </c:pt>
                <c:pt idx="20">
                  <c:v>58</c:v>
                </c:pt>
                <c:pt idx="21">
                  <c:v>58</c:v>
                </c:pt>
                <c:pt idx="22">
                  <c:v>58</c:v>
                </c:pt>
                <c:pt idx="23">
                  <c:v>58</c:v>
                </c:pt>
                <c:pt idx="24">
                  <c:v>58</c:v>
                </c:pt>
                <c:pt idx="25">
                  <c:v>58</c:v>
                </c:pt>
                <c:pt idx="26">
                  <c:v>58</c:v>
                </c:pt>
                <c:pt idx="27">
                  <c:v>58</c:v>
                </c:pt>
                <c:pt idx="28">
                  <c:v>58</c:v>
                </c:pt>
                <c:pt idx="29">
                  <c:v>58</c:v>
                </c:pt>
              </c:numCache>
            </c:numRef>
          </c:val>
          <c:extLst>
            <c:ext xmlns:c16="http://schemas.microsoft.com/office/drawing/2014/chart" uri="{C3380CC4-5D6E-409C-BE32-E72D297353CC}">
              <c16:uniqueId val="{00000004-F469-499E-B2CC-45881EB1793F}"/>
            </c:ext>
          </c:extLst>
        </c:ser>
        <c:dLbls>
          <c:showLegendKey val="0"/>
          <c:showVal val="0"/>
          <c:showCatName val="0"/>
          <c:showSerName val="0"/>
          <c:showPercent val="0"/>
          <c:showBubbleSize val="0"/>
        </c:dLbls>
        <c:gapWidth val="150"/>
        <c:overlap val="100"/>
        <c:axId val="762978448"/>
        <c:axId val="762977200"/>
        <c:extLst>
          <c:ext xmlns:c15="http://schemas.microsoft.com/office/drawing/2012/chart" uri="{02D57815-91ED-43cb-92C2-25804820EDAC}">
            <c15:filteredBarSeries>
              <c15:ser>
                <c:idx val="0"/>
                <c:order val="0"/>
                <c:tx>
                  <c:strRef>
                    <c:extLst>
                      <c:ext uri="{02D57815-91ED-43cb-92C2-25804820EDAC}">
                        <c15:formulaRef>
                          <c15:sqref>'Fleet Transition Plan (ZEB)'!$A$25</c15:sqref>
                        </c15:formulaRef>
                      </c:ext>
                    </c:extLst>
                    <c:strCache>
                      <c:ptCount val="1"/>
                      <c:pt idx="0">
                        <c:v>CNG</c:v>
                      </c:pt>
                    </c:strCache>
                  </c:strRef>
                </c:tx>
                <c:spPr>
                  <a:solidFill>
                    <a:schemeClr val="accent1"/>
                  </a:solidFill>
                  <a:ln>
                    <a:noFill/>
                  </a:ln>
                  <a:effectLst/>
                </c:spPr>
                <c:invertIfNegative val="0"/>
                <c:cat>
                  <c:strRef>
                    <c:extLst>
                      <c:ext uri="{02D57815-91ED-43cb-92C2-25804820EDAC}">
                        <c15:formulaRef>
                          <c15:sqref>'Fleet Transition Plan (ZEB)'!$B$23:$AE$24</c15:sqref>
                        </c15:formulaRef>
                      </c:ext>
                    </c:extLst>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extLst>
                      <c:ext uri="{02D57815-91ED-43cb-92C2-25804820EDAC}">
                        <c15:formulaRef>
                          <c15:sqref>'Fleet Transition Plan (ZEB)'!$B$25:$AE$25</c15:sqref>
                        </c15:formulaRef>
                      </c:ext>
                    </c:extLst>
                    <c:numCache>
                      <c:formatCode>General</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5-F469-499E-B2CC-45881EB1793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'Fleet Transition Plan (ZEB)'!$A$28</c15:sqref>
                        </c15:formulaRef>
                      </c:ext>
                    </c:extLst>
                    <c:strCache>
                      <c:ptCount val="1"/>
                      <c:pt idx="0">
                        <c:v>RNG</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'Fleet Transition Plan (ZEB)'!$B$23:$AE$24</c15:sqref>
                        </c15:formulaRef>
                      </c:ext>
                    </c:extLst>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extLst xmlns:c15="http://schemas.microsoft.com/office/drawing/2012/chart">
                      <c:ext xmlns:c15="http://schemas.microsoft.com/office/drawing/2012/chart" uri="{02D57815-91ED-43cb-92C2-25804820EDAC}">
                        <c15:formulaRef>
                          <c15:sqref>'Fleet Transition Plan (ZEB)'!$B$28:$AE$28</c15:sqref>
                        </c15:formulaRef>
                      </c:ext>
                    </c:extLst>
                    <c:numCache>
                      <c:formatCode>General</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xmlns:c15="http://schemas.microsoft.com/office/drawing/2012/chart">
                  <c:ext xmlns:c16="http://schemas.microsoft.com/office/drawing/2014/chart" uri="{C3380CC4-5D6E-409C-BE32-E72D297353CC}">
                    <c16:uniqueId val="{00000006-F469-499E-B2CC-45881EB1793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'Fleet Transition Plan (ZEB)'!$A$30</c15:sqref>
                        </c15:formulaRef>
                      </c:ext>
                    </c:extLst>
                    <c:strCache>
                      <c:ptCount val="1"/>
                      <c:pt idx="0">
                        <c:v>FCEB</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'Fleet Transition Plan (ZEB)'!$B$23:$AE$24</c15:sqref>
                        </c15:formulaRef>
                      </c:ext>
                    </c:extLst>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extLst xmlns:c15="http://schemas.microsoft.com/office/drawing/2012/chart">
                      <c:ext xmlns:c15="http://schemas.microsoft.com/office/drawing/2012/chart" uri="{02D57815-91ED-43cb-92C2-25804820EDAC}">
                        <c15:formulaRef>
                          <c15:sqref>'Fleet Transition Plan (ZEB)'!$B$30:$AE$30</c15:sqref>
                        </c15:formulaRef>
                      </c:ext>
                    </c:extLst>
                    <c:numCache>
                      <c:formatCode>General</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xmlns:c15="http://schemas.microsoft.com/office/drawing/2012/chart">
                  <c:ext xmlns:c16="http://schemas.microsoft.com/office/drawing/2014/chart" uri="{C3380CC4-5D6E-409C-BE32-E72D297353CC}">
                    <c16:uniqueId val="{00000007-F469-499E-B2CC-45881EB1793F}"/>
                  </c:ext>
                </c:extLst>
              </c15:ser>
            </c15:filteredBarSeries>
          </c:ext>
        </c:extLst>
      </c:barChart>
      <c:catAx>
        <c:axId val="76297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977200"/>
        <c:crosses val="autoZero"/>
        <c:auto val="1"/>
        <c:lblAlgn val="ctr"/>
        <c:lblOffset val="100"/>
        <c:noMultiLvlLbl val="0"/>
      </c:catAx>
      <c:valAx>
        <c:axId val="762977200"/>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Buses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97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Electric Grid Energy Sources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21-4B34-8FBA-8E373BD3AB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21-4B34-8FBA-8E373BD3AB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21-4B34-8FBA-8E373BD3AB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21-4B34-8FBA-8E373BD3AB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B21-4B34-8FBA-8E373BD3AB9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B21-4B34-8FBA-8E373BD3AB92}"/>
              </c:ext>
            </c:extLst>
          </c:dPt>
          <c:cat>
            <c:strRef>
              <c:f>Sheet1!$A$2:$A$7</c:f>
              <c:strCache>
                <c:ptCount val="6"/>
                <c:pt idx="0">
                  <c:v>Renewables</c:v>
                </c:pt>
                <c:pt idx="1">
                  <c:v>Nuclear</c:v>
                </c:pt>
                <c:pt idx="2">
                  <c:v>Residual Oil</c:v>
                </c:pt>
                <c:pt idx="3">
                  <c:v>Coal</c:v>
                </c:pt>
                <c:pt idx="4">
                  <c:v>Biomass</c:v>
                </c:pt>
                <c:pt idx="5">
                  <c:v>Natural Gas</c:v>
                </c:pt>
              </c:strCache>
            </c:strRef>
          </c:cat>
          <c:val>
            <c:numRef>
              <c:f>Sheet1!$B$2:$B$7</c:f>
              <c:numCache>
                <c:formatCode>General</c:formatCode>
                <c:ptCount val="6"/>
                <c:pt idx="0">
                  <c:v>8.6</c:v>
                </c:pt>
                <c:pt idx="1">
                  <c:v>29.9</c:v>
                </c:pt>
                <c:pt idx="2">
                  <c:v>0.2</c:v>
                </c:pt>
                <c:pt idx="3">
                  <c:v>2.2000000000000002</c:v>
                </c:pt>
                <c:pt idx="4">
                  <c:v>0.4</c:v>
                </c:pt>
                <c:pt idx="5">
                  <c:v>58.7</c:v>
                </c:pt>
              </c:numCache>
            </c:numRef>
          </c:val>
          <c:extLst>
            <c:ext xmlns:c16="http://schemas.microsoft.com/office/drawing/2014/chart" uri="{C3380CC4-5D6E-409C-BE32-E72D297353CC}">
              <c16:uniqueId val="{0000000C-CB21-4B34-8FBA-8E373BD3AB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Charts!$A$2</c:f>
              <c:strCache>
                <c:ptCount val="1"/>
                <c:pt idx="0">
                  <c:v>BEB</c:v>
                </c:pt>
              </c:strCache>
            </c:strRef>
          </c:tx>
          <c:spPr>
            <a:ln w="28575" cap="rnd">
              <a:solidFill>
                <a:schemeClr val="accent1"/>
              </a:solidFill>
              <a:round/>
            </a:ln>
            <a:effectLst/>
          </c:spPr>
          <c:marker>
            <c:symbol val="none"/>
          </c:marker>
          <c:cat>
            <c:strRef>
              <c:f>Charts!$B$1:$AE$1</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Charts!$B$2:$AE$2</c:f>
              <c:numCache>
                <c:formatCode>General</c:formatCode>
                <c:ptCount val="30"/>
                <c:pt idx="0">
                  <c:v>1915</c:v>
                </c:pt>
                <c:pt idx="1">
                  <c:v>2117.9</c:v>
                </c:pt>
                <c:pt idx="2">
                  <c:v>2407</c:v>
                </c:pt>
                <c:pt idx="3">
                  <c:v>2786.4</c:v>
                </c:pt>
                <c:pt idx="4">
                  <c:v>3098.2604617385336</c:v>
                </c:pt>
                <c:pt idx="5">
                  <c:v>3278.7473125192182</c:v>
                </c:pt>
                <c:pt idx="6" formatCode="0.0">
                  <c:v>3384.8763059381427</c:v>
                </c:pt>
                <c:pt idx="7" formatCode="0.0">
                  <c:v>3427.7039834413563</c:v>
                </c:pt>
                <c:pt idx="8" formatCode="0.0">
                  <c:v>3423.3782384897791</c:v>
                </c:pt>
                <c:pt idx="9" formatCode="0.0">
                  <c:v>3419.0524935382014</c:v>
                </c:pt>
                <c:pt idx="10" formatCode="0.0">
                  <c:v>3365.0342115747449</c:v>
                </c:pt>
                <c:pt idx="11" formatCode="0.0">
                  <c:v>3361.1890891629164</c:v>
                </c:pt>
                <c:pt idx="12" formatCode="0.0">
                  <c:v>3357.3439667510879</c:v>
                </c:pt>
                <c:pt idx="13" formatCode="0.0">
                  <c:v>3037.07762781662</c:v>
                </c:pt>
                <c:pt idx="14" formatCode="0.0">
                  <c:v>2525.3000733495669</c:v>
                </c:pt>
                <c:pt idx="15" formatCode="0.0">
                  <c:v>1671.2318636507855</c:v>
                </c:pt>
                <c:pt idx="16" formatCode="0.0">
                  <c:v>1428.8823328745671</c:v>
                </c:pt>
                <c:pt idx="17" formatCode="0.0">
                  <c:v>1015.5073446897056</c:v>
                </c:pt>
                <c:pt idx="18" formatCode="0.0">
                  <c:v>593.15612396482493</c:v>
                </c:pt>
                <c:pt idx="19" formatCode="0.0">
                  <c:v>388.16425775079557</c:v>
                </c:pt>
                <c:pt idx="20" formatCode="0.0">
                  <c:v>349.13642883653051</c:v>
                </c:pt>
                <c:pt idx="21" formatCode="0.0">
                  <c:v>311.96706796580196</c:v>
                </c:pt>
                <c:pt idx="22" formatCode="0.0">
                  <c:v>274.79770709507335</c:v>
                </c:pt>
                <c:pt idx="23" formatCode="0.0">
                  <c:v>237.6283462243448</c:v>
                </c:pt>
                <c:pt idx="24" formatCode="0.0">
                  <c:v>200.45898535361619</c:v>
                </c:pt>
                <c:pt idx="25" formatCode="0.0">
                  <c:v>163.28962448288755</c:v>
                </c:pt>
                <c:pt idx="26" formatCode="0.0">
                  <c:v>126.12026361215894</c:v>
                </c:pt>
                <c:pt idx="27" formatCode="0.0">
                  <c:v>88.950902741430355</c:v>
                </c:pt>
                <c:pt idx="28" formatCode="0.0">
                  <c:v>51.781541870701766</c:v>
                </c:pt>
                <c:pt idx="29" formatCode="0.0">
                  <c:v>14.612180999973159</c:v>
                </c:pt>
              </c:numCache>
            </c:numRef>
          </c:val>
          <c:smooth val="0"/>
          <c:extLst>
            <c:ext xmlns:c16="http://schemas.microsoft.com/office/drawing/2014/chart" uri="{C3380CC4-5D6E-409C-BE32-E72D297353CC}">
              <c16:uniqueId val="{00000000-29E5-4DA2-A46E-D07C4E58BC65}"/>
            </c:ext>
          </c:extLst>
        </c:ser>
        <c:ser>
          <c:idx val="1"/>
          <c:order val="1"/>
          <c:tx>
            <c:strRef>
              <c:f>Charts!$A$3</c:f>
              <c:strCache>
                <c:ptCount val="1"/>
                <c:pt idx="0">
                  <c:v>Green FCEB</c:v>
                </c:pt>
              </c:strCache>
            </c:strRef>
          </c:tx>
          <c:spPr>
            <a:ln w="28575" cap="rnd">
              <a:solidFill>
                <a:schemeClr val="accent2"/>
              </a:solidFill>
              <a:round/>
            </a:ln>
            <a:effectLst/>
          </c:spPr>
          <c:marker>
            <c:symbol val="none"/>
          </c:marker>
          <c:cat>
            <c:strRef>
              <c:f>Charts!$B$1:$AE$1</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Charts!$B$3:$AE$3</c:f>
              <c:numCache>
                <c:formatCode>General</c:formatCode>
                <c:ptCount val="30"/>
                <c:pt idx="0">
                  <c:v>1915</c:v>
                </c:pt>
                <c:pt idx="1">
                  <c:v>2117.9</c:v>
                </c:pt>
                <c:pt idx="2">
                  <c:v>2407</c:v>
                </c:pt>
                <c:pt idx="3">
                  <c:v>2786.4</c:v>
                </c:pt>
                <c:pt idx="4">
                  <c:v>3098.2604617385336</c:v>
                </c:pt>
                <c:pt idx="5">
                  <c:v>3278.7473125192182</c:v>
                </c:pt>
                <c:pt idx="6" formatCode="0.0">
                  <c:v>3384.8763059381427</c:v>
                </c:pt>
                <c:pt idx="7" formatCode="0.0">
                  <c:v>3498.6482083551582</c:v>
                </c:pt>
                <c:pt idx="8" formatCode="0.0">
                  <c:v>3490.1840980659308</c:v>
                </c:pt>
                <c:pt idx="9" formatCode="0.0">
                  <c:v>3481.7199877767039</c:v>
                </c:pt>
                <c:pt idx="10" formatCode="0.0">
                  <c:v>3444.5032891798414</c:v>
                </c:pt>
                <c:pt idx="11" formatCode="0.0">
                  <c:v>3436.5709081486616</c:v>
                </c:pt>
                <c:pt idx="12" formatCode="0.0">
                  <c:v>3428.6385271174818</c:v>
                </c:pt>
                <c:pt idx="13" formatCode="0.0">
                  <c:v>3205.0961677523746</c:v>
                </c:pt>
                <c:pt idx="14" formatCode="0.0">
                  <c:v>2811.2111075380981</c:v>
                </c:pt>
                <c:pt idx="15" formatCode="0.0">
                  <c:v>2187.7709742040961</c:v>
                </c:pt>
                <c:pt idx="16" formatCode="0.0">
                  <c:v>1992.0766793323301</c:v>
                </c:pt>
                <c:pt idx="17" formatCode="0.0">
                  <c:v>1625.8074949074073</c:v>
                </c:pt>
                <c:pt idx="18" formatCode="0.0">
                  <c:v>1236.2609346009181</c:v>
                </c:pt>
                <c:pt idx="19" formatCode="0.0">
                  <c:v>1007.081056908642</c:v>
                </c:pt>
                <c:pt idx="20" formatCode="0.0">
                  <c:v>905.82447182382657</c:v>
                </c:pt>
                <c:pt idx="21" formatCode="0.0">
                  <c:v>809.38962888590709</c:v>
                </c:pt>
                <c:pt idx="22" formatCode="0.0">
                  <c:v>712.9547859479876</c:v>
                </c:pt>
                <c:pt idx="23" formatCode="0.0">
                  <c:v>616.519943010068</c:v>
                </c:pt>
                <c:pt idx="24" formatCode="0.0">
                  <c:v>520.08510007214852</c:v>
                </c:pt>
                <c:pt idx="25" formatCode="0.0">
                  <c:v>423.65025713422892</c:v>
                </c:pt>
                <c:pt idx="26" formatCode="0.0">
                  <c:v>327.21541419630944</c:v>
                </c:pt>
                <c:pt idx="27" formatCode="0.0">
                  <c:v>230.78057125838993</c:v>
                </c:pt>
                <c:pt idx="28" formatCode="0.0">
                  <c:v>134.34572832047041</c:v>
                </c:pt>
                <c:pt idx="29" formatCode="0.0">
                  <c:v>37.910885382550887</c:v>
                </c:pt>
              </c:numCache>
            </c:numRef>
          </c:val>
          <c:smooth val="0"/>
          <c:extLst>
            <c:ext xmlns:c16="http://schemas.microsoft.com/office/drawing/2014/chart" uri="{C3380CC4-5D6E-409C-BE32-E72D297353CC}">
              <c16:uniqueId val="{00000001-29E5-4DA2-A46E-D07C4E58BC65}"/>
            </c:ext>
          </c:extLst>
        </c:ser>
        <c:ser>
          <c:idx val="2"/>
          <c:order val="2"/>
          <c:tx>
            <c:strRef>
              <c:f>Charts!$A$4</c:f>
              <c:strCache>
                <c:ptCount val="1"/>
                <c:pt idx="0">
                  <c:v>Grey FCEB</c:v>
                </c:pt>
              </c:strCache>
            </c:strRef>
          </c:tx>
          <c:spPr>
            <a:ln w="28575" cap="rnd">
              <a:solidFill>
                <a:schemeClr val="accent3"/>
              </a:solidFill>
              <a:round/>
            </a:ln>
            <a:effectLst/>
          </c:spPr>
          <c:marker>
            <c:symbol val="none"/>
          </c:marker>
          <c:cat>
            <c:strRef>
              <c:f>Charts!$B$1:$AE$1</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Charts!$B$4:$AE$4</c:f>
              <c:numCache>
                <c:formatCode>General</c:formatCode>
                <c:ptCount val="30"/>
                <c:pt idx="0">
                  <c:v>1915</c:v>
                </c:pt>
                <c:pt idx="1">
                  <c:v>2117.9</c:v>
                </c:pt>
                <c:pt idx="2">
                  <c:v>2407</c:v>
                </c:pt>
                <c:pt idx="3">
                  <c:v>2786.4</c:v>
                </c:pt>
                <c:pt idx="4">
                  <c:v>3098.2604617385336</c:v>
                </c:pt>
                <c:pt idx="5">
                  <c:v>3278.7473125192182</c:v>
                </c:pt>
                <c:pt idx="6" formatCode="0.0">
                  <c:v>3384.8763059381427</c:v>
                </c:pt>
                <c:pt idx="7" formatCode="0.0">
                  <c:v>3499.2394328582955</c:v>
                </c:pt>
                <c:pt idx="8" formatCode="0.0">
                  <c:v>3497.5091348776646</c:v>
                </c:pt>
                <c:pt idx="9" formatCode="0.0">
                  <c:v>3495.7788368970337</c:v>
                </c:pt>
                <c:pt idx="10" formatCode="0.0">
                  <c:v>3469.8991001635859</c:v>
                </c:pt>
                <c:pt idx="11" formatCode="0.0">
                  <c:v>3468.6173979557107</c:v>
                </c:pt>
                <c:pt idx="12" formatCode="0.0">
                  <c:v>3467.3356957478359</c:v>
                </c:pt>
                <c:pt idx="13" formatCode="0.0">
                  <c:v>3318.4657863865214</c:v>
                </c:pt>
                <c:pt idx="14" formatCode="0.0">
                  <c:v>3071.2037389229154</c:v>
                </c:pt>
                <c:pt idx="15" formatCode="0.0">
                  <c:v>2700.9515188314431</c:v>
                </c:pt>
                <c:pt idx="16" formatCode="0.0">
                  <c:v>2661.4004895489538</c:v>
                </c:pt>
                <c:pt idx="17" formatCode="0.0">
                  <c:v>2489.2142478699411</c:v>
                </c:pt>
                <c:pt idx="18" formatCode="0.0">
                  <c:v>2317.0280061909289</c:v>
                </c:pt>
                <c:pt idx="19" formatCode="0.0">
                  <c:v>2243.2339026142099</c:v>
                </c:pt>
                <c:pt idx="20" formatCode="0.0">
                  <c:v>2243.2339026142099</c:v>
                </c:pt>
                <c:pt idx="21" formatCode="0.0">
                  <c:v>2243.2339026142099</c:v>
                </c:pt>
                <c:pt idx="22" formatCode="0.0">
                  <c:v>2243.2339026142099</c:v>
                </c:pt>
                <c:pt idx="23" formatCode="0.0">
                  <c:v>2243.2339026142099</c:v>
                </c:pt>
                <c:pt idx="24" formatCode="0.0">
                  <c:v>2243.2339026142099</c:v>
                </c:pt>
                <c:pt idx="25" formatCode="0.0">
                  <c:v>2243.2339026142099</c:v>
                </c:pt>
                <c:pt idx="26" formatCode="0.0">
                  <c:v>2243.2339026142099</c:v>
                </c:pt>
                <c:pt idx="27" formatCode="0.0">
                  <c:v>2243.2339026142099</c:v>
                </c:pt>
                <c:pt idx="28" formatCode="0.0">
                  <c:v>2243.2339026142099</c:v>
                </c:pt>
                <c:pt idx="29" formatCode="0.0">
                  <c:v>2243.2339026142099</c:v>
                </c:pt>
              </c:numCache>
            </c:numRef>
          </c:val>
          <c:smooth val="0"/>
          <c:extLst>
            <c:ext xmlns:c16="http://schemas.microsoft.com/office/drawing/2014/chart" uri="{C3380CC4-5D6E-409C-BE32-E72D297353CC}">
              <c16:uniqueId val="{00000002-29E5-4DA2-A46E-D07C4E58BC65}"/>
            </c:ext>
          </c:extLst>
        </c:ser>
        <c:ser>
          <c:idx val="3"/>
          <c:order val="3"/>
          <c:tx>
            <c:strRef>
              <c:f>Charts!$A$5</c:f>
              <c:strCache>
                <c:ptCount val="1"/>
                <c:pt idx="0">
                  <c:v>CNG</c:v>
                </c:pt>
              </c:strCache>
            </c:strRef>
          </c:tx>
          <c:spPr>
            <a:ln w="28575" cap="rnd">
              <a:solidFill>
                <a:schemeClr val="accent4"/>
              </a:solidFill>
              <a:round/>
            </a:ln>
            <a:effectLst/>
          </c:spPr>
          <c:marker>
            <c:symbol val="none"/>
          </c:marker>
          <c:cat>
            <c:strRef>
              <c:f>Charts!$B$1:$AE$1</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Charts!$B$5:$AE$5</c:f>
              <c:numCache>
                <c:formatCode>General</c:formatCode>
                <c:ptCount val="30"/>
                <c:pt idx="0">
                  <c:v>1915</c:v>
                </c:pt>
                <c:pt idx="1">
                  <c:v>2117.9</c:v>
                </c:pt>
                <c:pt idx="2">
                  <c:v>2407</c:v>
                </c:pt>
                <c:pt idx="3">
                  <c:v>2786.4</c:v>
                </c:pt>
                <c:pt idx="4">
                  <c:v>3098.2604617385336</c:v>
                </c:pt>
                <c:pt idx="5">
                  <c:v>3278.7473125192182</c:v>
                </c:pt>
                <c:pt idx="6" formatCode="0.0">
                  <c:v>3384.8763059381427</c:v>
                </c:pt>
                <c:pt idx="7" formatCode="0.0">
                  <c:v>3559.1071882286669</c:v>
                </c:pt>
                <c:pt idx="8" formatCode="0.0">
                  <c:v>3557.376890248036</c:v>
                </c:pt>
                <c:pt idx="9" formatCode="0.0">
                  <c:v>3555.6465922674051</c:v>
                </c:pt>
                <c:pt idx="10" formatCode="0.0">
                  <c:v>3549.7227739907476</c:v>
                </c:pt>
                <c:pt idx="11" formatCode="0.0">
                  <c:v>3548.4410717828723</c:v>
                </c:pt>
                <c:pt idx="12" formatCode="0.0">
                  <c:v>3545.8776673671227</c:v>
                </c:pt>
                <c:pt idx="13" formatCode="0.0">
                  <c:v>3518.024970954426</c:v>
                </c:pt>
                <c:pt idx="14" formatCode="0.0">
                  <c:v>3470.3221080587246</c:v>
                </c:pt>
                <c:pt idx="15" formatCode="0.0">
                  <c:v>3399.4086648191096</c:v>
                </c:pt>
                <c:pt idx="16" formatCode="0.0">
                  <c:v>3479.5931462773628</c:v>
                </c:pt>
                <c:pt idx="17" formatCode="0.0">
                  <c:v>3447.0983337958833</c:v>
                </c:pt>
                <c:pt idx="18" formatCode="0.0">
                  <c:v>3414.6035213144046</c:v>
                </c:pt>
                <c:pt idx="19" formatCode="0.0">
                  <c:v>3400.6771731080571</c:v>
                </c:pt>
                <c:pt idx="20" formatCode="0.0">
                  <c:v>3400.6771731080571</c:v>
                </c:pt>
                <c:pt idx="21" formatCode="0.0">
                  <c:v>3400.6771731080571</c:v>
                </c:pt>
                <c:pt idx="22" formatCode="0.0">
                  <c:v>3400.6771731080571</c:v>
                </c:pt>
                <c:pt idx="23" formatCode="0.0">
                  <c:v>3400.6771731080571</c:v>
                </c:pt>
                <c:pt idx="24" formatCode="0.0">
                  <c:v>3400.6771731080571</c:v>
                </c:pt>
                <c:pt idx="25" formatCode="0.0">
                  <c:v>3400.6771731080571</c:v>
                </c:pt>
                <c:pt idx="26" formatCode="0.0">
                  <c:v>3400.6771731080571</c:v>
                </c:pt>
                <c:pt idx="27" formatCode="0.0">
                  <c:v>3400.6771731080571</c:v>
                </c:pt>
                <c:pt idx="28" formatCode="0.0">
                  <c:v>3400.6771731080571</c:v>
                </c:pt>
                <c:pt idx="29" formatCode="0.0">
                  <c:v>3400.6771731080571</c:v>
                </c:pt>
              </c:numCache>
            </c:numRef>
          </c:val>
          <c:smooth val="0"/>
          <c:extLst>
            <c:ext xmlns:c16="http://schemas.microsoft.com/office/drawing/2014/chart" uri="{C3380CC4-5D6E-409C-BE32-E72D297353CC}">
              <c16:uniqueId val="{00000003-29E5-4DA2-A46E-D07C4E58BC65}"/>
            </c:ext>
          </c:extLst>
        </c:ser>
        <c:ser>
          <c:idx val="4"/>
          <c:order val="4"/>
          <c:tx>
            <c:strRef>
              <c:f>Charts!$A$6</c:f>
              <c:strCache>
                <c:ptCount val="1"/>
                <c:pt idx="0">
                  <c:v>RNG</c:v>
                </c:pt>
              </c:strCache>
            </c:strRef>
          </c:tx>
          <c:spPr>
            <a:ln w="28575" cap="rnd">
              <a:solidFill>
                <a:schemeClr val="accent5"/>
              </a:solidFill>
              <a:round/>
            </a:ln>
            <a:effectLst/>
          </c:spPr>
          <c:marker>
            <c:symbol val="none"/>
          </c:marker>
          <c:cat>
            <c:strRef>
              <c:f>Charts!$B$1:$AE$1</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Charts!$B$6:$AE$6</c:f>
              <c:numCache>
                <c:formatCode>General</c:formatCode>
                <c:ptCount val="30"/>
                <c:pt idx="0">
                  <c:v>1915</c:v>
                </c:pt>
                <c:pt idx="1">
                  <c:v>2117.9</c:v>
                </c:pt>
                <c:pt idx="2">
                  <c:v>2407</c:v>
                </c:pt>
                <c:pt idx="3">
                  <c:v>2786.4</c:v>
                </c:pt>
                <c:pt idx="4">
                  <c:v>3098.2604617385336</c:v>
                </c:pt>
                <c:pt idx="5">
                  <c:v>3278.7473125192182</c:v>
                </c:pt>
                <c:pt idx="6" formatCode="0.0">
                  <c:v>3384.8763059381427</c:v>
                </c:pt>
                <c:pt idx="7" formatCode="0.0">
                  <c:v>3285.5908021828973</c:v>
                </c:pt>
                <c:pt idx="8" formatCode="0.0">
                  <c:v>3283.8605042022664</c:v>
                </c:pt>
                <c:pt idx="9" formatCode="0.0">
                  <c:v>3282.1302062216355</c:v>
                </c:pt>
                <c:pt idx="10" formatCode="0.0">
                  <c:v>3185.0342592630554</c:v>
                </c:pt>
                <c:pt idx="11" formatCode="0.0">
                  <c:v>3183.7525570551802</c:v>
                </c:pt>
                <c:pt idx="12" formatCode="0.0">
                  <c:v>3182.4708548473054</c:v>
                </c:pt>
                <c:pt idx="13" formatCode="0.0">
                  <c:v>2606.303684135195</c:v>
                </c:pt>
                <c:pt idx="14" formatCode="0.0">
                  <c:v>1646.8795344202622</c:v>
                </c:pt>
                <c:pt idx="15" formatCode="0.0">
                  <c:v>208.38416095179991</c:v>
                </c:pt>
                <c:pt idx="16" formatCode="0.0">
                  <c:v>-258.46412968148525</c:v>
                </c:pt>
                <c:pt idx="17" formatCode="0.0">
                  <c:v>-929.16384293642579</c:v>
                </c:pt>
                <c:pt idx="18" formatCode="0.0">
                  <c:v>-1599.863556191367</c:v>
                </c:pt>
                <c:pt idx="19" formatCode="0.0">
                  <c:v>-1887.3062904434846</c:v>
                </c:pt>
                <c:pt idx="20" formatCode="0.0">
                  <c:v>-1887.3062904434846</c:v>
                </c:pt>
                <c:pt idx="21" formatCode="0.0">
                  <c:v>-1887.3062904434846</c:v>
                </c:pt>
                <c:pt idx="22" formatCode="0.0">
                  <c:v>-1887.3062904434846</c:v>
                </c:pt>
                <c:pt idx="23" formatCode="0.0">
                  <c:v>-1887.3062904434846</c:v>
                </c:pt>
                <c:pt idx="24" formatCode="0.0">
                  <c:v>-1887.3062904434846</c:v>
                </c:pt>
                <c:pt idx="25" formatCode="0.0">
                  <c:v>-1887.3062904434846</c:v>
                </c:pt>
                <c:pt idx="26" formatCode="0.0">
                  <c:v>-1887.3062904434846</c:v>
                </c:pt>
                <c:pt idx="27" formatCode="0.0">
                  <c:v>-1887.3062904434846</c:v>
                </c:pt>
                <c:pt idx="28" formatCode="0.0">
                  <c:v>-1887.3062904434846</c:v>
                </c:pt>
                <c:pt idx="29" formatCode="0.0">
                  <c:v>-1887.3062904434846</c:v>
                </c:pt>
              </c:numCache>
            </c:numRef>
          </c:val>
          <c:smooth val="0"/>
          <c:extLst>
            <c:ext xmlns:c16="http://schemas.microsoft.com/office/drawing/2014/chart" uri="{C3380CC4-5D6E-409C-BE32-E72D297353CC}">
              <c16:uniqueId val="{00000004-29E5-4DA2-A46E-D07C4E58BC65}"/>
            </c:ext>
          </c:extLst>
        </c:ser>
        <c:ser>
          <c:idx val="5"/>
          <c:order val="5"/>
          <c:tx>
            <c:strRef>
              <c:f>Charts!$A$7</c:f>
              <c:strCache>
                <c:ptCount val="1"/>
                <c:pt idx="0">
                  <c:v>Diesel</c:v>
                </c:pt>
              </c:strCache>
            </c:strRef>
          </c:tx>
          <c:spPr>
            <a:ln w="28575" cap="rnd">
              <a:solidFill>
                <a:schemeClr val="accent6"/>
              </a:solidFill>
              <a:round/>
            </a:ln>
            <a:effectLst/>
          </c:spPr>
          <c:marker>
            <c:symbol val="none"/>
          </c:marker>
          <c:cat>
            <c:strRef>
              <c:f>Charts!$B$1:$AE$1</c:f>
              <c:strCache>
                <c:ptCount val="30"/>
                <c:pt idx="0">
                  <c:v>Base</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strCache>
            </c:strRef>
          </c:cat>
          <c:val>
            <c:numRef>
              <c:f>Charts!$B$7:$AE$7</c:f>
              <c:numCache>
                <c:formatCode>General</c:formatCode>
                <c:ptCount val="30"/>
                <c:pt idx="0">
                  <c:v>1915</c:v>
                </c:pt>
                <c:pt idx="1">
                  <c:v>2117.9</c:v>
                </c:pt>
                <c:pt idx="2">
                  <c:v>2407</c:v>
                </c:pt>
                <c:pt idx="3">
                  <c:v>2786.4</c:v>
                </c:pt>
                <c:pt idx="4">
                  <c:v>3098.2604617385336</c:v>
                </c:pt>
                <c:pt idx="5">
                  <c:v>3278.7473125192182</c:v>
                </c:pt>
                <c:pt idx="6" formatCode="0.0">
                  <c:v>3384.8763059381427</c:v>
                </c:pt>
                <c:pt idx="7" formatCode="0.0">
                  <c:v>3669.9199050974544</c:v>
                </c:pt>
                <c:pt idx="8" formatCode="0.0">
                  <c:v>3669.9199050974544</c:v>
                </c:pt>
                <c:pt idx="9" formatCode="0.0">
                  <c:v>3669.9199050974544</c:v>
                </c:pt>
                <c:pt idx="10" formatCode="0.0">
                  <c:v>3669.9199050974544</c:v>
                </c:pt>
                <c:pt idx="11" formatCode="0.0">
                  <c:v>3669.9199050974544</c:v>
                </c:pt>
                <c:pt idx="12" formatCode="0.0">
                  <c:v>3669.9199050974544</c:v>
                </c:pt>
                <c:pt idx="13" formatCode="0.0">
                  <c:v>3669.9199050974544</c:v>
                </c:pt>
                <c:pt idx="14" formatCode="0.0">
                  <c:v>3669.9199050974544</c:v>
                </c:pt>
                <c:pt idx="15" formatCode="0.0">
                  <c:v>3669.9199050974544</c:v>
                </c:pt>
                <c:pt idx="16" formatCode="0.0">
                  <c:v>3669.9199050974544</c:v>
                </c:pt>
                <c:pt idx="17" formatCode="0.0">
                  <c:v>3669.9199050974544</c:v>
                </c:pt>
                <c:pt idx="18" formatCode="0.0">
                  <c:v>3669.9199050974544</c:v>
                </c:pt>
                <c:pt idx="19" formatCode="0.0">
                  <c:v>3669.9199050974544</c:v>
                </c:pt>
                <c:pt idx="20" formatCode="0.0">
                  <c:v>3669.9199050974544</c:v>
                </c:pt>
                <c:pt idx="21" formatCode="0.0">
                  <c:v>3669.9199050974544</c:v>
                </c:pt>
                <c:pt idx="22" formatCode="0.0">
                  <c:v>3669.9199050974544</c:v>
                </c:pt>
                <c:pt idx="23" formatCode="0.0">
                  <c:v>3669.9199050974544</c:v>
                </c:pt>
                <c:pt idx="24" formatCode="0.0">
                  <c:v>3669.9199050974544</c:v>
                </c:pt>
                <c:pt idx="25" formatCode="0.0">
                  <c:v>3669.9199050974544</c:v>
                </c:pt>
                <c:pt idx="26" formatCode="0.0">
                  <c:v>3669.9199050974544</c:v>
                </c:pt>
                <c:pt idx="27" formatCode="0.0">
                  <c:v>3669.9199050974544</c:v>
                </c:pt>
                <c:pt idx="28" formatCode="0.0">
                  <c:v>3669.9199050974544</c:v>
                </c:pt>
                <c:pt idx="29" formatCode="0.0">
                  <c:v>3669.9199050974544</c:v>
                </c:pt>
              </c:numCache>
            </c:numRef>
          </c:val>
          <c:smooth val="0"/>
          <c:extLst>
            <c:ext xmlns:c16="http://schemas.microsoft.com/office/drawing/2014/chart" uri="{C3380CC4-5D6E-409C-BE32-E72D297353CC}">
              <c16:uniqueId val="{00000005-29E5-4DA2-A46E-D07C4E58BC65}"/>
            </c:ext>
          </c:extLst>
        </c:ser>
        <c:dLbls>
          <c:showLegendKey val="0"/>
          <c:showVal val="0"/>
          <c:showCatName val="0"/>
          <c:showSerName val="0"/>
          <c:showPercent val="0"/>
          <c:showBubbleSize val="0"/>
        </c:dLbls>
        <c:smooth val="0"/>
        <c:axId val="1395092767"/>
        <c:axId val="1395109823"/>
      </c:lineChart>
      <c:catAx>
        <c:axId val="139509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109823"/>
        <c:crosses val="autoZero"/>
        <c:auto val="1"/>
        <c:lblAlgn val="ctr"/>
        <c:lblOffset val="100"/>
        <c:noMultiLvlLbl val="0"/>
      </c:catAx>
      <c:valAx>
        <c:axId val="1395109823"/>
        <c:scaling>
          <c:orientation val="minMax"/>
          <c:max val="4000"/>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Short Tons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09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Sheet4!$A$20</c:f>
              <c:strCache>
                <c:ptCount val="1"/>
                <c:pt idx="0">
                  <c:v>PM10</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Sheet4!$B$19:$E$19</c:f>
              <c:strCache>
                <c:ptCount val="4"/>
                <c:pt idx="0">
                  <c:v>Diesel</c:v>
                </c:pt>
                <c:pt idx="1">
                  <c:v>CNG/RNG</c:v>
                </c:pt>
                <c:pt idx="2">
                  <c:v>Grey/Green FCEB</c:v>
                </c:pt>
                <c:pt idx="3">
                  <c:v>BEB</c:v>
                </c:pt>
              </c:strCache>
            </c:strRef>
          </c:cat>
          <c:val>
            <c:numRef>
              <c:f>Sheet4!$B$20:$E$20</c:f>
              <c:numCache>
                <c:formatCode>0.0</c:formatCode>
                <c:ptCount val="4"/>
                <c:pt idx="0">
                  <c:v>254.3</c:v>
                </c:pt>
                <c:pt idx="1">
                  <c:v>254.32129954037808</c:v>
                </c:pt>
                <c:pt idx="2">
                  <c:v>241.34572303321593</c:v>
                </c:pt>
                <c:pt idx="3">
                  <c:v>241.34570253022557</c:v>
                </c:pt>
              </c:numCache>
            </c:numRef>
          </c:val>
          <c:extLst>
            <c:ext xmlns:c16="http://schemas.microsoft.com/office/drawing/2014/chart" uri="{C3380CC4-5D6E-409C-BE32-E72D297353CC}">
              <c16:uniqueId val="{00000000-D34A-4525-BC3E-2EC64AE06887}"/>
            </c:ext>
          </c:extLst>
        </c:ser>
        <c:ser>
          <c:idx val="1"/>
          <c:order val="1"/>
          <c:tx>
            <c:strRef>
              <c:f>Sheet4!$A$21</c:f>
              <c:strCache>
                <c:ptCount val="1"/>
                <c:pt idx="0">
                  <c:v>PM2.5</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Sheet4!$B$19:$E$19</c:f>
              <c:strCache>
                <c:ptCount val="4"/>
                <c:pt idx="0">
                  <c:v>Diesel</c:v>
                </c:pt>
                <c:pt idx="1">
                  <c:v>CNG/RNG</c:v>
                </c:pt>
                <c:pt idx="2">
                  <c:v>Grey/Green FCEB</c:v>
                </c:pt>
                <c:pt idx="3">
                  <c:v>BEB</c:v>
                </c:pt>
              </c:strCache>
            </c:strRef>
          </c:cat>
          <c:val>
            <c:numRef>
              <c:f>Sheet4!$B$21:$E$21</c:f>
              <c:numCache>
                <c:formatCode>0.0</c:formatCode>
                <c:ptCount val="4"/>
                <c:pt idx="0">
                  <c:v>41.5</c:v>
                </c:pt>
                <c:pt idx="1">
                  <c:v>41.521844822918872</c:v>
                </c:pt>
                <c:pt idx="2">
                  <c:v>31.141383617189152</c:v>
                </c:pt>
                <c:pt idx="3">
                  <c:v>31.141380971642004</c:v>
                </c:pt>
              </c:numCache>
            </c:numRef>
          </c:val>
          <c:extLst>
            <c:ext xmlns:c16="http://schemas.microsoft.com/office/drawing/2014/chart" uri="{C3380CC4-5D6E-409C-BE32-E72D297353CC}">
              <c16:uniqueId val="{00000001-D34A-4525-BC3E-2EC64AE06887}"/>
            </c:ext>
          </c:extLst>
        </c:ser>
        <c:ser>
          <c:idx val="2"/>
          <c:order val="2"/>
          <c:tx>
            <c:strRef>
              <c:f>Sheet4!$A$22</c:f>
              <c:strCache>
                <c:ptCount val="1"/>
                <c:pt idx="0">
                  <c:v>VOC</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Sheet4!$B$19:$E$19</c:f>
              <c:strCache>
                <c:ptCount val="4"/>
                <c:pt idx="0">
                  <c:v>Diesel</c:v>
                </c:pt>
                <c:pt idx="1">
                  <c:v>CNG/RNG</c:v>
                </c:pt>
                <c:pt idx="2">
                  <c:v>Grey/Green FCEB</c:v>
                </c:pt>
                <c:pt idx="3">
                  <c:v>BEB</c:v>
                </c:pt>
              </c:strCache>
            </c:strRef>
          </c:cat>
          <c:val>
            <c:numRef>
              <c:f>Sheet4!$B$22:$E$22</c:f>
              <c:numCache>
                <c:formatCode>0.0</c:formatCode>
                <c:ptCount val="4"/>
                <c:pt idx="0">
                  <c:v>244.8</c:v>
                </c:pt>
                <c:pt idx="1">
                  <c:v>117.59969865964852</c:v>
                </c:pt>
                <c:pt idx="2">
                  <c:v>0</c:v>
                </c:pt>
                <c:pt idx="3">
                  <c:v>0</c:v>
                </c:pt>
              </c:numCache>
            </c:numRef>
          </c:val>
          <c:extLst>
            <c:ext xmlns:c16="http://schemas.microsoft.com/office/drawing/2014/chart" uri="{C3380CC4-5D6E-409C-BE32-E72D297353CC}">
              <c16:uniqueId val="{00000002-D34A-4525-BC3E-2EC64AE06887}"/>
            </c:ext>
          </c:extLst>
        </c:ser>
        <c:ser>
          <c:idx val="3"/>
          <c:order val="3"/>
          <c:tx>
            <c:strRef>
              <c:f>Sheet4!$A$23</c:f>
              <c:strCache>
                <c:ptCount val="1"/>
                <c:pt idx="0">
                  <c:v>SOx</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Sheet4!$B$19:$E$19</c:f>
              <c:strCache>
                <c:ptCount val="4"/>
                <c:pt idx="0">
                  <c:v>Diesel</c:v>
                </c:pt>
                <c:pt idx="1">
                  <c:v>CNG/RNG</c:v>
                </c:pt>
                <c:pt idx="2">
                  <c:v>Grey/Green FCEB</c:v>
                </c:pt>
                <c:pt idx="3">
                  <c:v>BEB</c:v>
                </c:pt>
              </c:strCache>
            </c:strRef>
          </c:cat>
          <c:val>
            <c:numRef>
              <c:f>Sheet4!$B$23:$E$23</c:f>
              <c:numCache>
                <c:formatCode>0.0</c:formatCode>
                <c:ptCount val="4"/>
                <c:pt idx="0">
                  <c:v>41.6</c:v>
                </c:pt>
                <c:pt idx="1">
                  <c:v>24.130397553290646</c:v>
                </c:pt>
                <c:pt idx="2">
                  <c:v>0</c:v>
                </c:pt>
                <c:pt idx="3">
                  <c:v>0</c:v>
                </c:pt>
              </c:numCache>
            </c:numRef>
          </c:val>
          <c:extLst>
            <c:ext xmlns:c16="http://schemas.microsoft.com/office/drawing/2014/chart" uri="{C3380CC4-5D6E-409C-BE32-E72D297353CC}">
              <c16:uniqueId val="{00000003-D34A-4525-BC3E-2EC64AE06887}"/>
            </c:ext>
          </c:extLst>
        </c:ser>
        <c:dLbls>
          <c:dLblPos val="outEnd"/>
          <c:showLegendKey val="0"/>
          <c:showVal val="1"/>
          <c:showCatName val="0"/>
          <c:showSerName val="0"/>
          <c:showPercent val="0"/>
          <c:showBubbleSize val="0"/>
        </c:dLbls>
        <c:gapWidth val="219"/>
        <c:overlap val="-27"/>
        <c:axId val="1725629631"/>
        <c:axId val="1725634207"/>
      </c:barChart>
      <c:catAx>
        <c:axId val="1725629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634207"/>
        <c:crosses val="autoZero"/>
        <c:auto val="1"/>
        <c:lblAlgn val="ctr"/>
        <c:lblOffset val="100"/>
        <c:noMultiLvlLbl val="0"/>
      </c:catAx>
      <c:valAx>
        <c:axId val="1725634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Pounds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629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VMPO LRTP Colors">
      <a:dk1>
        <a:sysClr val="windowText" lastClr="000000"/>
      </a:dk1>
      <a:lt1>
        <a:sysClr val="window" lastClr="FFFFFF"/>
      </a:lt1>
      <a:dk2>
        <a:srgbClr val="44546A"/>
      </a:dk2>
      <a:lt2>
        <a:srgbClr val="E7E6E6"/>
      </a:lt2>
      <a:accent1>
        <a:srgbClr val="2C3C77"/>
      </a:accent1>
      <a:accent2>
        <a:srgbClr val="1793C9"/>
      </a:accent2>
      <a:accent3>
        <a:srgbClr val="503A78"/>
      </a:accent3>
      <a:accent4>
        <a:srgbClr val="537835"/>
      </a:accent4>
      <a:accent5>
        <a:srgbClr val="90C35C"/>
      </a:accent5>
      <a:accent6>
        <a:srgbClr val="823320"/>
      </a:accent6>
      <a:hlink>
        <a:srgbClr val="A76830"/>
      </a:hlink>
      <a:folHlink>
        <a:srgbClr val="DCA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Cit21</b:Tag>
    <b:SourceType>Report</b:SourceType>
    <b:Guid>{0312D14B-9F28-41E6-9EF1-1CAB1C7D8252}</b:Guid>
    <b:Author>
      <b:Author>
        <b:Corporate>City of Charlottesville</b:Corporate>
      </b:Author>
    </b:Author>
    <b:Title>Climate Hazards - Summary of Projections for Charlottesville</b:Title>
    <b:Year>2021</b:Year>
    <b:Publisher>City of Charlottesville</b:Publisher>
    <b:City>Charlottesville, VA</b:City>
    <b:URL>https://www.charlottesville.gov/DocumentCenter/View/6565/Adaptation-Planning---Charlottesville-VA---Climate-Hazards-Summary-Memo?bidId=</b:URL>
    <b:RefOrder>1</b:RefOrder>
  </b:Source>
  <b:Source>
    <b:Tag>Wat19</b:Tag>
    <b:SourceType>InternetSite</b:SourceType>
    <b:Guid>{19CA9284-2A73-40D5-AB69-9201814434A3}</b:Guid>
    <b:Author>
      <b:Author>
        <b:Corporate>Water Resources Mission Area</b:Corporate>
      </b:Author>
    </b:Author>
    <b:Title>Hydraulic Fracturing</b:Title>
    <b:Year>2019</b:Year>
    <b:InternetSiteTitle>United States Geological Survey</b:InternetSiteTitle>
    <b:Month>September</b:Month>
    <b:Day>13</b:Day>
    <b:URL>https://www.usgs.gov/mission-areas/water-resources/science/hydraulic-fracturing#overview</b:URL>
    <b:RefOrder>2</b:RefOrder>
  </b:Source>
  <b:Source>
    <b:Tag>Uni11</b:Tag>
    <b:SourceType>Report</b:SourceType>
    <b:Guid>{D0A93FD6-27EA-4ED8-BC57-E6069F7F1EAE}</b:Guid>
    <b:Title>Chemicals Used in Hydraulic Fracturing</b:Title>
    <b:Year>2011</b:Year>
    <b:Author>
      <b:Author>
        <b:Corporate>United States House of Representatives Committee on Energy and Commerce Minority Staff</b:Corporate>
      </b:Author>
    </b:Author>
    <b:Publisher>United States House of Representatives Committee on Energy and Commerce</b:Publisher>
    <b:City>Washington, D.C.</b:City>
    <b:RefOrder>3</b:RefOrder>
  </b:Source>
  <b:Source>
    <b:Tag>Sch20</b:Tag>
    <b:SourceType>JournalArticle</b:SourceType>
    <b:Guid>{C03BF0A4-9C3A-4463-8C66-2458EA5108DB}</b:Guid>
    <b:Title>Hydraulic Fracturing-Induced Seismicity</b:Title>
    <b:Year>2020</b:Year>
    <b:Author>
      <b:Author>
        <b:NameList>
          <b:Person>
            <b:Last>Schultz</b:Last>
            <b:First>Ryan</b:First>
          </b:Person>
          <b:Person>
            <b:Last>Skoumal</b:Last>
            <b:First>Robert</b:First>
            <b:Middle>J.</b:Middle>
          </b:Person>
          <b:Person>
            <b:Last>Brudzinski</b:Last>
            <b:First>Michael</b:First>
            <b:Middle>R.</b:Middle>
          </b:Person>
          <b:Person>
            <b:Last>Eaton</b:Last>
            <b:First>Dave</b:First>
          </b:Person>
          <b:Person>
            <b:Last>Baptie</b:Last>
            <b:First>Brian</b:First>
          </b:Person>
          <b:Person>
            <b:Last>Ellsworth</b:Last>
            <b:First>William</b:First>
          </b:Person>
        </b:NameList>
      </b:Author>
    </b:Author>
    <b:JournalName>Reviews of Geophysics</b:JournalName>
    <b:RefOrder>4</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762C49B6E5E80742BAF7EFDEED41D651" ma:contentTypeVersion="8" ma:contentTypeDescription="Create a new document." ma:contentTypeScope="" ma:versionID="ccf8063d230b217886e12b88dd5de9f5">
  <xsd:schema xmlns:xsd="http://www.w3.org/2001/XMLSchema" xmlns:xs="http://www.w3.org/2001/XMLSchema" xmlns:p="http://schemas.microsoft.com/office/2006/metadata/properties" xmlns:ns2="a2f20303-5581-4d4d-9cfd-f2cb2f4ce3a6" xmlns:ns3="884d6ac7-7a26-436e-851e-5585b0d71894" targetNamespace="http://schemas.microsoft.com/office/2006/metadata/properties" ma:root="true" ma:fieldsID="21f7b79743a3696b9bbf5d74be894aa9" ns2:_="" ns3:_="">
    <xsd:import namespace="a2f20303-5581-4d4d-9cfd-f2cb2f4ce3a6"/>
    <xsd:import namespace="884d6ac7-7a26-436e-851e-5585b0d718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f20303-5581-4d4d-9cfd-f2cb2f4ce3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4d6ac7-7a26-436e-851e-5585b0d718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0BAD72-55DA-40D3-A231-B3744113DFFB}">
  <ds:schemaRefs>
    <ds:schemaRef ds:uri="http://schemas.openxmlformats.org/officeDocument/2006/bibliography"/>
  </ds:schemaRefs>
</ds:datastoreItem>
</file>

<file path=customXml/itemProps2.xml><?xml version="1.0" encoding="utf-8"?>
<ds:datastoreItem xmlns:ds="http://schemas.openxmlformats.org/officeDocument/2006/customXml" ds:itemID="{195745AC-32A4-4603-914E-EFC2F50640BF}"/>
</file>

<file path=customXml/itemProps3.xml><?xml version="1.0" encoding="utf-8"?>
<ds:datastoreItem xmlns:ds="http://schemas.openxmlformats.org/officeDocument/2006/customXml" ds:itemID="{9244D10F-6515-43DC-B281-D2442EC56BC4}"/>
</file>

<file path=customXml/itemProps4.xml><?xml version="1.0" encoding="utf-8"?>
<ds:datastoreItem xmlns:ds="http://schemas.openxmlformats.org/officeDocument/2006/customXml" ds:itemID="{A3B4B29D-4575-435D-84A2-A54C81162CC4}"/>
</file>

<file path=docProps/app.xml><?xml version="1.0" encoding="utf-8"?>
<Properties xmlns="http://schemas.openxmlformats.org/officeDocument/2006/extended-properties" xmlns:vt="http://schemas.openxmlformats.org/officeDocument/2006/docPropsVTypes">
  <Template>Normal.dotm</Template>
  <TotalTime>0</TotalTime>
  <Pages>24</Pages>
  <Words>9050</Words>
  <Characters>51589</Characters>
  <Application>Microsoft Office Word</Application>
  <DocSecurity>0</DocSecurity>
  <Lines>429</Lines>
  <Paragraphs>121</Paragraphs>
  <ScaleCrop>false</ScaleCrop>
  <Company/>
  <LinksUpToDate>false</LinksUpToDate>
  <CharactersWithSpaces>60518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Beard, Alyssa</dc:creator>
  <cp:keywords/>
  <dc:description/>
  <cp:lastModifiedBy>Sink, Sam</cp:lastModifiedBy>
  <cp:revision>2</cp:revision>
  <dcterms:created xsi:type="dcterms:W3CDTF">2024-02-23T20:11:00Z</dcterms:created>
  <dcterms:modified xsi:type="dcterms:W3CDTF">2024-02-23T20:11:00Z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0x010100762C49B6E5E80742BAF7EFDEED41D651</vt:lpwstr>
  </property>
</Properties>
</file>